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6766E" w14:textId="5FF63229" w:rsidR="00663AA0" w:rsidRPr="00D947CB" w:rsidRDefault="00663AA0" w:rsidP="00663AA0">
      <w:pPr>
        <w:spacing w:after="0" w:line="276" w:lineRule="auto"/>
        <w:jc w:val="center"/>
        <w:rPr>
          <w:rFonts w:cs="Times New Roman"/>
          <w:sz w:val="32"/>
          <w:szCs w:val="32"/>
        </w:rPr>
      </w:pPr>
      <w:r w:rsidRPr="00D947CB">
        <w:rPr>
          <w:rFonts w:cs="Times New Roman"/>
          <w:sz w:val="32"/>
          <w:szCs w:val="32"/>
        </w:rPr>
        <w:t>7.</w:t>
      </w:r>
    </w:p>
    <w:p w14:paraId="794A4ED9" w14:textId="07987193" w:rsidR="00663AA0" w:rsidRPr="00D947CB" w:rsidRDefault="00663AA0" w:rsidP="00663AA0">
      <w:pPr>
        <w:spacing w:after="0" w:line="276" w:lineRule="auto"/>
        <w:jc w:val="center"/>
        <w:rPr>
          <w:rFonts w:cs="Times New Roman"/>
          <w:sz w:val="32"/>
          <w:szCs w:val="32"/>
        </w:rPr>
      </w:pPr>
      <w:r w:rsidRPr="00D947CB">
        <w:rPr>
          <w:rFonts w:cs="Times New Roman"/>
          <w:sz w:val="32"/>
          <w:szCs w:val="32"/>
        </w:rPr>
        <w:t xml:space="preserve">Conclusions: Transnational Legal Analysis, Transnational Narratives </w:t>
      </w:r>
      <w:r w:rsidR="00FF116E" w:rsidRPr="00D947CB">
        <w:rPr>
          <w:rFonts w:cs="Times New Roman"/>
          <w:sz w:val="32"/>
          <w:szCs w:val="32"/>
        </w:rPr>
        <w:t xml:space="preserve">on Risk </w:t>
      </w:r>
      <w:r w:rsidRPr="00D947CB">
        <w:rPr>
          <w:rFonts w:cs="Times New Roman"/>
          <w:sz w:val="32"/>
          <w:szCs w:val="32"/>
        </w:rPr>
        <w:t>and the Failure of Science and Deliberation</w:t>
      </w:r>
      <w:r w:rsidR="007E780C" w:rsidRPr="00D947CB">
        <w:rPr>
          <w:rFonts w:cs="Times New Roman"/>
          <w:sz w:val="32"/>
          <w:szCs w:val="32"/>
        </w:rPr>
        <w:t>. Towards Legal Re-Materialisation?</w:t>
      </w:r>
    </w:p>
    <w:p w14:paraId="09DB56D3" w14:textId="326D183D" w:rsidR="00663AA0" w:rsidRDefault="00663AA0" w:rsidP="00663AA0">
      <w:pPr>
        <w:spacing w:after="0" w:line="276" w:lineRule="auto"/>
        <w:rPr>
          <w:rFonts w:cs="Times New Roman"/>
          <w:sz w:val="24"/>
          <w:szCs w:val="24"/>
        </w:rPr>
      </w:pPr>
    </w:p>
    <w:p w14:paraId="1E479F99" w14:textId="3CC27657" w:rsidR="00663AA0" w:rsidRDefault="00663AA0" w:rsidP="00663AA0">
      <w:pPr>
        <w:spacing w:after="0" w:line="276" w:lineRule="auto"/>
        <w:rPr>
          <w:rFonts w:cs="Times New Roman"/>
          <w:sz w:val="24"/>
          <w:szCs w:val="24"/>
        </w:rPr>
      </w:pPr>
    </w:p>
    <w:p w14:paraId="59489441" w14:textId="14D3BC02" w:rsidR="00C25040" w:rsidRDefault="00663AA0" w:rsidP="00663AA0">
      <w:pPr>
        <w:spacing w:after="0" w:line="276" w:lineRule="auto"/>
        <w:jc w:val="both"/>
        <w:rPr>
          <w:rFonts w:cs="Times New Roman"/>
          <w:sz w:val="24"/>
          <w:szCs w:val="24"/>
        </w:rPr>
      </w:pPr>
      <w:r>
        <w:rPr>
          <w:rFonts w:cs="Times New Roman"/>
          <w:sz w:val="24"/>
          <w:szCs w:val="24"/>
        </w:rPr>
        <w:t>Thi</w:t>
      </w:r>
      <w:r w:rsidR="003373AE">
        <w:rPr>
          <w:rFonts w:cs="Times New Roman"/>
          <w:sz w:val="24"/>
          <w:szCs w:val="24"/>
        </w:rPr>
        <w:t>s</w:t>
      </w:r>
      <w:r>
        <w:rPr>
          <w:rFonts w:cs="Times New Roman"/>
          <w:sz w:val="24"/>
          <w:szCs w:val="24"/>
        </w:rPr>
        <w:t xml:space="preserve"> chapter </w:t>
      </w:r>
      <w:r w:rsidR="00D947CB">
        <w:rPr>
          <w:rFonts w:cs="Times New Roman"/>
          <w:sz w:val="24"/>
          <w:szCs w:val="24"/>
        </w:rPr>
        <w:t>ties together the threads</w:t>
      </w:r>
      <w:r>
        <w:rPr>
          <w:rFonts w:cs="Times New Roman"/>
          <w:sz w:val="24"/>
          <w:szCs w:val="24"/>
        </w:rPr>
        <w:t xml:space="preserve"> of the analysis, focusing on the findings of the methodological, institutional and normative strands of enquiry. </w:t>
      </w:r>
      <w:r w:rsidR="00C43AF9">
        <w:rPr>
          <w:rFonts w:cs="Times New Roman"/>
          <w:sz w:val="24"/>
          <w:szCs w:val="24"/>
        </w:rPr>
        <w:t xml:space="preserve">Each section </w:t>
      </w:r>
      <w:r w:rsidR="00D947CB">
        <w:rPr>
          <w:rFonts w:cs="Times New Roman"/>
          <w:sz w:val="24"/>
          <w:szCs w:val="24"/>
        </w:rPr>
        <w:t xml:space="preserve">briefly </w:t>
      </w:r>
      <w:r w:rsidR="00C43AF9">
        <w:rPr>
          <w:rFonts w:cs="Times New Roman"/>
          <w:sz w:val="24"/>
          <w:szCs w:val="24"/>
        </w:rPr>
        <w:t xml:space="preserve">reconstructs the </w:t>
      </w:r>
      <w:r w:rsidR="00C24163">
        <w:rPr>
          <w:rFonts w:cs="Times New Roman"/>
          <w:sz w:val="24"/>
          <w:szCs w:val="24"/>
        </w:rPr>
        <w:t xml:space="preserve">analysis conducted in the book, as unfolding throughout the </w:t>
      </w:r>
      <w:r w:rsidR="00FF116E">
        <w:rPr>
          <w:rFonts w:cs="Times New Roman"/>
          <w:sz w:val="24"/>
          <w:szCs w:val="24"/>
        </w:rPr>
        <w:t xml:space="preserve">second, </w:t>
      </w:r>
      <w:r w:rsidR="00C24163">
        <w:rPr>
          <w:rFonts w:cs="Times New Roman"/>
          <w:sz w:val="24"/>
          <w:szCs w:val="24"/>
        </w:rPr>
        <w:t xml:space="preserve">third, fourth, fifth and sixth chapters. </w:t>
      </w:r>
      <w:r w:rsidR="00FF116E">
        <w:rPr>
          <w:rFonts w:cs="Times New Roman"/>
          <w:sz w:val="24"/>
          <w:szCs w:val="24"/>
        </w:rPr>
        <w:t xml:space="preserve">The first section develops some final considerations on the value of </w:t>
      </w:r>
      <w:r w:rsidR="00204E42">
        <w:rPr>
          <w:rFonts w:cs="Times New Roman"/>
          <w:sz w:val="24"/>
          <w:szCs w:val="24"/>
        </w:rPr>
        <w:t>transnational legal analysis</w:t>
      </w:r>
      <w:r w:rsidR="00FF116E">
        <w:rPr>
          <w:rFonts w:cs="Times New Roman"/>
          <w:sz w:val="24"/>
          <w:szCs w:val="24"/>
        </w:rPr>
        <w:t xml:space="preserve"> as a methodological framework. The second section focuses on the institutional enquiry into transnational narratives on GE organisms and </w:t>
      </w:r>
      <w:r w:rsidR="00AF713D">
        <w:rPr>
          <w:rFonts w:cs="Times New Roman"/>
          <w:sz w:val="24"/>
          <w:szCs w:val="24"/>
        </w:rPr>
        <w:t>risk governance</w:t>
      </w:r>
      <w:r w:rsidR="00FF116E">
        <w:rPr>
          <w:rFonts w:cs="Times New Roman"/>
          <w:sz w:val="24"/>
          <w:szCs w:val="24"/>
        </w:rPr>
        <w:t xml:space="preserve">. </w:t>
      </w:r>
      <w:r w:rsidR="00C24163">
        <w:rPr>
          <w:rFonts w:cs="Times New Roman"/>
          <w:sz w:val="24"/>
          <w:szCs w:val="24"/>
        </w:rPr>
        <w:t>The aim</w:t>
      </w:r>
      <w:r w:rsidR="00FF116E">
        <w:rPr>
          <w:rFonts w:cs="Times New Roman"/>
          <w:sz w:val="24"/>
          <w:szCs w:val="24"/>
        </w:rPr>
        <w:t xml:space="preserve"> </w:t>
      </w:r>
      <w:r w:rsidR="00C24163">
        <w:rPr>
          <w:rFonts w:cs="Times New Roman"/>
          <w:sz w:val="24"/>
          <w:szCs w:val="24"/>
        </w:rPr>
        <w:t>is to step back from the</w:t>
      </w:r>
      <w:r w:rsidR="00504AB7">
        <w:rPr>
          <w:rFonts w:cs="Times New Roman"/>
          <w:sz w:val="24"/>
          <w:szCs w:val="24"/>
        </w:rPr>
        <w:t xml:space="preserve"> book’s</w:t>
      </w:r>
      <w:r w:rsidR="00C24163">
        <w:rPr>
          <w:rFonts w:cs="Times New Roman"/>
          <w:sz w:val="24"/>
          <w:szCs w:val="24"/>
        </w:rPr>
        <w:t xml:space="preserve"> in</w:t>
      </w:r>
      <w:r w:rsidR="00340295">
        <w:rPr>
          <w:rFonts w:cs="Times New Roman"/>
          <w:sz w:val="24"/>
          <w:szCs w:val="24"/>
        </w:rPr>
        <w:t>-</w:t>
      </w:r>
      <w:r w:rsidR="00C24163">
        <w:rPr>
          <w:rFonts w:cs="Times New Roman"/>
          <w:sz w:val="24"/>
          <w:szCs w:val="24"/>
        </w:rPr>
        <w:t>depth examination of discrete legal systems</w:t>
      </w:r>
      <w:r w:rsidR="001940B9">
        <w:rPr>
          <w:rFonts w:cs="Times New Roman"/>
          <w:sz w:val="24"/>
          <w:szCs w:val="24"/>
        </w:rPr>
        <w:t xml:space="preserve"> </w:t>
      </w:r>
      <w:r w:rsidR="00504AB7">
        <w:rPr>
          <w:rFonts w:cs="Times New Roman"/>
          <w:sz w:val="24"/>
          <w:szCs w:val="24"/>
        </w:rPr>
        <w:t>and provide</w:t>
      </w:r>
      <w:r w:rsidR="00C24163">
        <w:rPr>
          <w:rFonts w:cs="Times New Roman"/>
          <w:sz w:val="24"/>
          <w:szCs w:val="24"/>
        </w:rPr>
        <w:t xml:space="preserve"> the big picture</w:t>
      </w:r>
      <w:r w:rsidR="001940B9">
        <w:rPr>
          <w:rFonts w:cs="Times New Roman"/>
          <w:sz w:val="24"/>
          <w:szCs w:val="24"/>
        </w:rPr>
        <w:t xml:space="preserve">, </w:t>
      </w:r>
      <w:r w:rsidR="00C24163">
        <w:rPr>
          <w:rFonts w:cs="Times New Roman"/>
          <w:sz w:val="24"/>
          <w:szCs w:val="24"/>
        </w:rPr>
        <w:t xml:space="preserve">drawing all relevant conclusions. </w:t>
      </w:r>
    </w:p>
    <w:p w14:paraId="4317FD12" w14:textId="52BB27F5" w:rsidR="007E780C" w:rsidRDefault="00C25040" w:rsidP="00204E42">
      <w:pPr>
        <w:spacing w:after="0" w:line="276" w:lineRule="auto"/>
        <w:ind w:firstLine="720"/>
        <w:jc w:val="both"/>
        <w:rPr>
          <w:rFonts w:cs="Times New Roman"/>
          <w:sz w:val="24"/>
          <w:szCs w:val="24"/>
        </w:rPr>
      </w:pPr>
      <w:r>
        <w:rPr>
          <w:rFonts w:cs="Times New Roman"/>
          <w:sz w:val="24"/>
          <w:szCs w:val="24"/>
        </w:rPr>
        <w:t xml:space="preserve">The </w:t>
      </w:r>
      <w:r w:rsidR="007E780C">
        <w:rPr>
          <w:rFonts w:cs="Times New Roman"/>
          <w:sz w:val="24"/>
          <w:szCs w:val="24"/>
        </w:rPr>
        <w:t>last</w:t>
      </w:r>
      <w:r>
        <w:rPr>
          <w:rFonts w:cs="Times New Roman"/>
          <w:sz w:val="24"/>
          <w:szCs w:val="24"/>
        </w:rPr>
        <w:t xml:space="preserve"> section, </w:t>
      </w:r>
      <w:r w:rsidR="009F5FAE">
        <w:rPr>
          <w:rFonts w:cs="Times New Roman"/>
          <w:sz w:val="24"/>
          <w:szCs w:val="24"/>
        </w:rPr>
        <w:t xml:space="preserve">which focuses </w:t>
      </w:r>
      <w:r>
        <w:rPr>
          <w:rFonts w:cs="Times New Roman"/>
          <w:sz w:val="24"/>
          <w:szCs w:val="24"/>
        </w:rPr>
        <w:t xml:space="preserve">on the findings of the normative strand of enquiry, raises </w:t>
      </w:r>
      <w:r w:rsidR="001940B9">
        <w:rPr>
          <w:rFonts w:cs="Times New Roman"/>
          <w:sz w:val="24"/>
          <w:szCs w:val="24"/>
        </w:rPr>
        <w:t>a few</w:t>
      </w:r>
      <w:r>
        <w:rPr>
          <w:rFonts w:cs="Times New Roman"/>
          <w:sz w:val="24"/>
          <w:szCs w:val="24"/>
        </w:rPr>
        <w:t xml:space="preserve"> final and somewhat provocative question</w:t>
      </w:r>
      <w:r w:rsidR="007E780C">
        <w:rPr>
          <w:rFonts w:cs="Times New Roman"/>
          <w:sz w:val="24"/>
          <w:szCs w:val="24"/>
        </w:rPr>
        <w:t>s</w:t>
      </w:r>
      <w:r>
        <w:rPr>
          <w:rFonts w:cs="Times New Roman"/>
          <w:sz w:val="24"/>
          <w:szCs w:val="24"/>
        </w:rPr>
        <w:t xml:space="preserve">. </w:t>
      </w:r>
      <w:r w:rsidR="007E780C">
        <w:rPr>
          <w:rFonts w:cs="Times New Roman"/>
          <w:sz w:val="24"/>
          <w:szCs w:val="24"/>
        </w:rPr>
        <w:t xml:space="preserve">Does legal proceduralisation offer a way forward to foster </w:t>
      </w:r>
      <w:r w:rsidR="007E780C" w:rsidRPr="007E780C">
        <w:rPr>
          <w:rFonts w:cs="Times New Roman"/>
          <w:sz w:val="24"/>
          <w:szCs w:val="24"/>
        </w:rPr>
        <w:t>genuine and long-lasting</w:t>
      </w:r>
      <w:r w:rsidR="007E780C">
        <w:rPr>
          <w:rFonts w:cs="Times New Roman"/>
          <w:sz w:val="24"/>
          <w:szCs w:val="24"/>
        </w:rPr>
        <w:t xml:space="preserve"> agreement, at times of globalisation? </w:t>
      </w:r>
      <w:r>
        <w:rPr>
          <w:rFonts w:cs="Times New Roman"/>
          <w:sz w:val="24"/>
          <w:szCs w:val="24"/>
        </w:rPr>
        <w:t xml:space="preserve">What happens if, in an increasingly complex and fragmented societal landscape, legal proceduralisation and political deliberation fail to construct </w:t>
      </w:r>
      <w:r w:rsidRPr="007E780C">
        <w:rPr>
          <w:rFonts w:cs="Times New Roman"/>
          <w:sz w:val="24"/>
          <w:szCs w:val="24"/>
        </w:rPr>
        <w:t>normatively legitimate</w:t>
      </w:r>
      <w:r>
        <w:rPr>
          <w:rFonts w:cs="Times New Roman"/>
          <w:sz w:val="24"/>
          <w:szCs w:val="24"/>
        </w:rPr>
        <w:t xml:space="preserve"> solutions to regulatory conflicts? </w:t>
      </w:r>
      <w:r w:rsidR="007E780C">
        <w:rPr>
          <w:rFonts w:cs="Times New Roman"/>
          <w:sz w:val="24"/>
          <w:szCs w:val="24"/>
        </w:rPr>
        <w:t>Can legal procedural paradigms help re-democratise an “amorphous” World Society?</w:t>
      </w:r>
      <w:r w:rsidR="001940B9">
        <w:rPr>
          <w:rStyle w:val="Rimandonotaapidipagina"/>
          <w:rFonts w:cs="Times New Roman"/>
          <w:sz w:val="24"/>
          <w:szCs w:val="24"/>
        </w:rPr>
        <w:footnoteReference w:id="1"/>
      </w:r>
      <w:r w:rsidR="007E780C">
        <w:rPr>
          <w:rFonts w:cs="Times New Roman"/>
          <w:sz w:val="24"/>
          <w:szCs w:val="24"/>
        </w:rPr>
        <w:t xml:space="preserve"> And if legal proceduralisation fail</w:t>
      </w:r>
      <w:r w:rsidR="00AF713D">
        <w:rPr>
          <w:rFonts w:cs="Times New Roman"/>
          <w:sz w:val="24"/>
          <w:szCs w:val="24"/>
        </w:rPr>
        <w:t>s</w:t>
      </w:r>
      <w:r w:rsidR="007E780C">
        <w:rPr>
          <w:rFonts w:cs="Times New Roman"/>
          <w:sz w:val="24"/>
          <w:szCs w:val="24"/>
        </w:rPr>
        <w:t xml:space="preserve">, what are the prospects for legal analysis to enquire into the construction of normatively legitimate discourses? Should legal analysis relinquish the distinction between law’s facticity and validity, and is normative legal analysis doomed? </w:t>
      </w:r>
      <w:r w:rsidR="001940B9">
        <w:rPr>
          <w:rFonts w:cs="Times New Roman"/>
          <w:sz w:val="24"/>
          <w:szCs w:val="24"/>
        </w:rPr>
        <w:t>C</w:t>
      </w:r>
      <w:r w:rsidR="007E780C">
        <w:rPr>
          <w:rFonts w:cs="Times New Roman"/>
          <w:sz w:val="24"/>
          <w:szCs w:val="24"/>
        </w:rPr>
        <w:t xml:space="preserve">an </w:t>
      </w:r>
      <w:r w:rsidR="007E780C" w:rsidRPr="000C2907">
        <w:rPr>
          <w:rFonts w:cs="Times New Roman"/>
          <w:i/>
          <w:iCs/>
          <w:sz w:val="24"/>
          <w:szCs w:val="24"/>
        </w:rPr>
        <w:t>legal re-materialisation</w:t>
      </w:r>
      <w:r w:rsidR="007E780C">
        <w:rPr>
          <w:rFonts w:cs="Times New Roman"/>
          <w:sz w:val="24"/>
          <w:szCs w:val="24"/>
        </w:rPr>
        <w:t xml:space="preserve"> offer a solution</w:t>
      </w:r>
      <w:r w:rsidR="000C2907">
        <w:rPr>
          <w:rFonts w:cs="Times New Roman"/>
          <w:sz w:val="24"/>
          <w:szCs w:val="24"/>
        </w:rPr>
        <w:t xml:space="preserve"> and pave the way for new forms of transnational normative analysis?</w:t>
      </w:r>
      <w:r w:rsidR="007E780C">
        <w:rPr>
          <w:rFonts w:cs="Times New Roman"/>
          <w:sz w:val="24"/>
          <w:szCs w:val="24"/>
        </w:rPr>
        <w:t xml:space="preserve"> </w:t>
      </w:r>
    </w:p>
    <w:p w14:paraId="2F99242D" w14:textId="210DA093" w:rsidR="000C2907" w:rsidRDefault="000C2907" w:rsidP="007E780C">
      <w:pPr>
        <w:spacing w:after="0" w:line="276" w:lineRule="auto"/>
        <w:jc w:val="both"/>
        <w:rPr>
          <w:rFonts w:cs="Times New Roman"/>
          <w:sz w:val="24"/>
          <w:szCs w:val="24"/>
        </w:rPr>
      </w:pPr>
    </w:p>
    <w:p w14:paraId="22D5F328" w14:textId="77777777" w:rsidR="000C2907" w:rsidRDefault="000C2907" w:rsidP="007E780C">
      <w:pPr>
        <w:spacing w:after="0" w:line="276" w:lineRule="auto"/>
        <w:jc w:val="both"/>
        <w:rPr>
          <w:rFonts w:cs="Times New Roman"/>
          <w:sz w:val="24"/>
          <w:szCs w:val="24"/>
        </w:rPr>
      </w:pPr>
    </w:p>
    <w:p w14:paraId="52AE76F4" w14:textId="2FDADC18" w:rsidR="002A17CB" w:rsidRPr="00270ABF" w:rsidRDefault="001940B9" w:rsidP="00270ABF">
      <w:pPr>
        <w:pStyle w:val="Paragrafoelenco"/>
        <w:numPr>
          <w:ilvl w:val="0"/>
          <w:numId w:val="1"/>
        </w:numPr>
        <w:spacing w:after="0" w:line="276" w:lineRule="auto"/>
        <w:jc w:val="center"/>
        <w:rPr>
          <w:rFonts w:cs="Times New Roman"/>
          <w:sz w:val="28"/>
          <w:szCs w:val="28"/>
        </w:rPr>
      </w:pPr>
      <w:r>
        <w:rPr>
          <w:rFonts w:cs="Times New Roman"/>
          <w:sz w:val="28"/>
          <w:szCs w:val="28"/>
        </w:rPr>
        <w:t xml:space="preserve">Methodology: </w:t>
      </w:r>
      <w:r w:rsidR="00F54CDF">
        <w:rPr>
          <w:rFonts w:cs="Times New Roman"/>
          <w:sz w:val="28"/>
          <w:szCs w:val="28"/>
        </w:rPr>
        <w:t xml:space="preserve">The Value of </w:t>
      </w:r>
      <w:r>
        <w:rPr>
          <w:rFonts w:cs="Times New Roman"/>
          <w:sz w:val="28"/>
          <w:szCs w:val="28"/>
        </w:rPr>
        <w:t xml:space="preserve">Transnational Legal Analysis as a Methodological Framework </w:t>
      </w:r>
    </w:p>
    <w:p w14:paraId="143AC49C" w14:textId="3B9D25EF" w:rsidR="002A17CB" w:rsidRDefault="002A17CB" w:rsidP="00663AA0">
      <w:pPr>
        <w:spacing w:after="0" w:line="276" w:lineRule="auto"/>
        <w:jc w:val="both"/>
        <w:rPr>
          <w:sz w:val="24"/>
          <w:szCs w:val="24"/>
        </w:rPr>
      </w:pPr>
    </w:p>
    <w:p w14:paraId="27D9845A" w14:textId="348616EB" w:rsidR="00FE46C1" w:rsidRDefault="00EB4101" w:rsidP="00663AA0">
      <w:pPr>
        <w:spacing w:after="0" w:line="276" w:lineRule="auto"/>
        <w:jc w:val="both"/>
        <w:rPr>
          <w:sz w:val="24"/>
          <w:szCs w:val="24"/>
        </w:rPr>
      </w:pPr>
      <w:r>
        <w:rPr>
          <w:sz w:val="24"/>
          <w:szCs w:val="24"/>
        </w:rPr>
        <w:t xml:space="preserve">The first part of the second chapter has explained in detail the foundations and </w:t>
      </w:r>
      <w:r w:rsidR="00AF713D">
        <w:rPr>
          <w:sz w:val="24"/>
          <w:szCs w:val="24"/>
        </w:rPr>
        <w:t xml:space="preserve">the </w:t>
      </w:r>
      <w:r>
        <w:rPr>
          <w:sz w:val="24"/>
          <w:szCs w:val="24"/>
        </w:rPr>
        <w:t>rationale of the methodological framework employed in the book.</w:t>
      </w:r>
      <w:r w:rsidR="00F54CDF">
        <w:rPr>
          <w:sz w:val="24"/>
          <w:szCs w:val="24"/>
        </w:rPr>
        <w:t xml:space="preserve"> As a preliminary step, the chapter has provided a brief overview of Law and Globalisation and transnational legal studies</w:t>
      </w:r>
      <w:r w:rsidR="00AF713D">
        <w:rPr>
          <w:sz w:val="24"/>
          <w:szCs w:val="24"/>
        </w:rPr>
        <w:t>,</w:t>
      </w:r>
      <w:r w:rsidR="00F54CDF">
        <w:rPr>
          <w:sz w:val="24"/>
          <w:szCs w:val="24"/>
        </w:rPr>
        <w:t xml:space="preserve"> as well as a more in</w:t>
      </w:r>
      <w:r w:rsidR="00492421">
        <w:rPr>
          <w:sz w:val="24"/>
          <w:szCs w:val="24"/>
        </w:rPr>
        <w:t>-</w:t>
      </w:r>
      <w:r w:rsidR="00F54CDF">
        <w:rPr>
          <w:sz w:val="24"/>
          <w:szCs w:val="24"/>
        </w:rPr>
        <w:t xml:space="preserve">depth </w:t>
      </w:r>
      <w:r w:rsidR="00504AB7">
        <w:rPr>
          <w:sz w:val="24"/>
          <w:szCs w:val="24"/>
        </w:rPr>
        <w:t>account</w:t>
      </w:r>
      <w:r w:rsidR="00F54CDF">
        <w:rPr>
          <w:sz w:val="24"/>
          <w:szCs w:val="24"/>
        </w:rPr>
        <w:t xml:space="preserve"> of two strands of transnational legal theory: TLO and TLP theory. As the analysis of the following chapters has made clear, this is not a book about methodology or transnational legal theory. Rather, </w:t>
      </w:r>
      <w:r w:rsidR="00D6168A">
        <w:rPr>
          <w:sz w:val="24"/>
          <w:szCs w:val="24"/>
        </w:rPr>
        <w:t>transnational legal analysis</w:t>
      </w:r>
      <w:r w:rsidR="00F54CDF">
        <w:rPr>
          <w:sz w:val="24"/>
          <w:szCs w:val="24"/>
        </w:rPr>
        <w:t xml:space="preserve"> is employed as a </w:t>
      </w:r>
      <w:r w:rsidR="00F54CDF" w:rsidRPr="00BE2E8E">
        <w:rPr>
          <w:sz w:val="24"/>
          <w:szCs w:val="24"/>
        </w:rPr>
        <w:t>methodological framework</w:t>
      </w:r>
      <w:r w:rsidR="00F54CDF">
        <w:rPr>
          <w:sz w:val="24"/>
          <w:szCs w:val="24"/>
        </w:rPr>
        <w:t xml:space="preserve"> to deconstruct transnational narratives </w:t>
      </w:r>
      <w:r w:rsidR="00F54CDF" w:rsidRPr="00F54CDF">
        <w:rPr>
          <w:i/>
          <w:iCs/>
          <w:sz w:val="24"/>
          <w:szCs w:val="24"/>
        </w:rPr>
        <w:t>from within</w:t>
      </w:r>
      <w:r w:rsidR="00F54CDF">
        <w:rPr>
          <w:sz w:val="24"/>
          <w:szCs w:val="24"/>
        </w:rPr>
        <w:t xml:space="preserve">, </w:t>
      </w:r>
      <w:r w:rsidR="00F54CDF" w:rsidRPr="00F54CDF">
        <w:rPr>
          <w:i/>
          <w:iCs/>
          <w:sz w:val="24"/>
          <w:szCs w:val="24"/>
        </w:rPr>
        <w:t>across</w:t>
      </w:r>
      <w:r w:rsidR="00F54CDF">
        <w:rPr>
          <w:sz w:val="24"/>
          <w:szCs w:val="24"/>
        </w:rPr>
        <w:t xml:space="preserve"> and </w:t>
      </w:r>
      <w:r w:rsidR="00F54CDF" w:rsidRPr="00F54CDF">
        <w:rPr>
          <w:i/>
          <w:iCs/>
          <w:sz w:val="24"/>
          <w:szCs w:val="24"/>
        </w:rPr>
        <w:t>beyond</w:t>
      </w:r>
      <w:r w:rsidR="00F54CDF">
        <w:rPr>
          <w:sz w:val="24"/>
          <w:szCs w:val="24"/>
        </w:rPr>
        <w:t xml:space="preserve"> the nation state level.</w:t>
      </w:r>
      <w:r w:rsidR="00FE46C1">
        <w:rPr>
          <w:sz w:val="24"/>
          <w:szCs w:val="24"/>
        </w:rPr>
        <w:t xml:space="preserve"> </w:t>
      </w:r>
    </w:p>
    <w:p w14:paraId="3F042984" w14:textId="4672F80F" w:rsidR="00F54CDF" w:rsidRDefault="00F54CDF" w:rsidP="00D6168A">
      <w:pPr>
        <w:spacing w:after="0" w:line="276" w:lineRule="auto"/>
        <w:ind w:firstLine="720"/>
        <w:jc w:val="both"/>
        <w:rPr>
          <w:sz w:val="24"/>
          <w:szCs w:val="24"/>
        </w:rPr>
      </w:pPr>
      <w:r>
        <w:rPr>
          <w:sz w:val="24"/>
          <w:szCs w:val="24"/>
        </w:rPr>
        <w:t xml:space="preserve">The </w:t>
      </w:r>
      <w:r w:rsidR="00FE46C1">
        <w:rPr>
          <w:sz w:val="24"/>
          <w:szCs w:val="24"/>
        </w:rPr>
        <w:t xml:space="preserve">methodological framing of the notion of “transnational law” and its application to the analysis of discrete legal systems underscores that transnational narratives do not emerge </w:t>
      </w:r>
      <w:r w:rsidR="00FE46C1">
        <w:rPr>
          <w:sz w:val="24"/>
          <w:szCs w:val="24"/>
        </w:rPr>
        <w:lastRenderedPageBreak/>
        <w:t xml:space="preserve">out of thin air. Rather, they are </w:t>
      </w:r>
      <w:r w:rsidR="00FE46C1" w:rsidRPr="00D6168A">
        <w:rPr>
          <w:sz w:val="24"/>
          <w:szCs w:val="24"/>
        </w:rPr>
        <w:t xml:space="preserve">socially and politically constructed and embedded in specific legal systems. </w:t>
      </w:r>
      <w:r w:rsidR="00FE46C1">
        <w:rPr>
          <w:sz w:val="24"/>
          <w:szCs w:val="24"/>
        </w:rPr>
        <w:t xml:space="preserve">For this reason, the application of </w:t>
      </w:r>
      <w:r w:rsidR="00D6168A">
        <w:rPr>
          <w:sz w:val="24"/>
          <w:szCs w:val="24"/>
        </w:rPr>
        <w:t>transnational legal analysis</w:t>
      </w:r>
      <w:r w:rsidR="00FE46C1">
        <w:rPr>
          <w:sz w:val="24"/>
          <w:szCs w:val="24"/>
        </w:rPr>
        <w:t xml:space="preserve"> as a methodological framework postulates a focus on </w:t>
      </w:r>
      <w:r w:rsidR="00FE46C1" w:rsidRPr="00BE1D74">
        <w:rPr>
          <w:i/>
          <w:iCs/>
          <w:sz w:val="24"/>
          <w:szCs w:val="24"/>
        </w:rPr>
        <w:t>transnationally relevant</w:t>
      </w:r>
      <w:r w:rsidR="00FE46C1">
        <w:rPr>
          <w:sz w:val="24"/>
          <w:szCs w:val="24"/>
        </w:rPr>
        <w:t xml:space="preserve"> legal systems</w:t>
      </w:r>
      <w:r w:rsidR="00A6578E">
        <w:rPr>
          <w:sz w:val="24"/>
          <w:szCs w:val="24"/>
        </w:rPr>
        <w:t>. T</w:t>
      </w:r>
      <w:r w:rsidR="005D7445">
        <w:rPr>
          <w:sz w:val="24"/>
          <w:szCs w:val="24"/>
        </w:rPr>
        <w:t xml:space="preserve">hese are the </w:t>
      </w:r>
      <w:r w:rsidR="00A6578E">
        <w:rPr>
          <w:sz w:val="24"/>
          <w:szCs w:val="24"/>
        </w:rPr>
        <w:t xml:space="preserve">norm-making </w:t>
      </w:r>
      <w:r w:rsidR="005D7445">
        <w:rPr>
          <w:sz w:val="24"/>
          <w:szCs w:val="24"/>
        </w:rPr>
        <w:t>sites where transnational narratives have originated</w:t>
      </w:r>
      <w:r w:rsidR="00F82F53">
        <w:rPr>
          <w:sz w:val="24"/>
          <w:szCs w:val="24"/>
        </w:rPr>
        <w:t xml:space="preserve"> and</w:t>
      </w:r>
      <w:r w:rsidR="00861EE6">
        <w:rPr>
          <w:sz w:val="24"/>
          <w:szCs w:val="24"/>
        </w:rPr>
        <w:t xml:space="preserve"> </w:t>
      </w:r>
      <w:r w:rsidR="00F82F53">
        <w:rPr>
          <w:sz w:val="24"/>
          <w:szCs w:val="24"/>
        </w:rPr>
        <w:t xml:space="preserve">where they have been </w:t>
      </w:r>
      <w:r w:rsidR="00BE1D74">
        <w:rPr>
          <w:sz w:val="24"/>
          <w:szCs w:val="24"/>
        </w:rPr>
        <w:t>shaped, reshaped</w:t>
      </w:r>
      <w:r w:rsidR="00F82F53">
        <w:rPr>
          <w:sz w:val="24"/>
          <w:szCs w:val="24"/>
        </w:rPr>
        <w:t xml:space="preserve">, challenged or </w:t>
      </w:r>
      <w:r w:rsidR="00BE1D74">
        <w:rPr>
          <w:sz w:val="24"/>
          <w:szCs w:val="24"/>
        </w:rPr>
        <w:t>reinforced.</w:t>
      </w:r>
      <w:r w:rsidR="005D7445">
        <w:rPr>
          <w:sz w:val="24"/>
          <w:szCs w:val="24"/>
        </w:rPr>
        <w:t xml:space="preserve"> </w:t>
      </w:r>
      <w:r w:rsidR="00F82F53">
        <w:rPr>
          <w:sz w:val="24"/>
          <w:szCs w:val="24"/>
        </w:rPr>
        <w:t>Indeed, f</w:t>
      </w:r>
      <w:r w:rsidR="00A6578E">
        <w:rPr>
          <w:sz w:val="24"/>
          <w:szCs w:val="24"/>
        </w:rPr>
        <w:t>rom this methodological</w:t>
      </w:r>
      <w:r w:rsidR="00BE1D74">
        <w:rPr>
          <w:sz w:val="24"/>
          <w:szCs w:val="24"/>
        </w:rPr>
        <w:t xml:space="preserve"> perspective, transnational narratives can only be deconstructed and explored </w:t>
      </w:r>
      <w:r w:rsidR="00F52083">
        <w:rPr>
          <w:sz w:val="24"/>
          <w:szCs w:val="24"/>
        </w:rPr>
        <w:t>through the</w:t>
      </w:r>
      <w:r w:rsidR="00BE1D74">
        <w:rPr>
          <w:sz w:val="24"/>
          <w:szCs w:val="24"/>
        </w:rPr>
        <w:t xml:space="preserve"> </w:t>
      </w:r>
      <w:r w:rsidR="00D141EC">
        <w:rPr>
          <w:sz w:val="24"/>
          <w:szCs w:val="24"/>
        </w:rPr>
        <w:t xml:space="preserve">identification and </w:t>
      </w:r>
      <w:r w:rsidR="00BE1D74">
        <w:rPr>
          <w:sz w:val="24"/>
          <w:szCs w:val="24"/>
        </w:rPr>
        <w:t xml:space="preserve">analysis </w:t>
      </w:r>
      <w:r w:rsidR="00270ABF">
        <w:rPr>
          <w:sz w:val="24"/>
          <w:szCs w:val="24"/>
        </w:rPr>
        <w:t xml:space="preserve">of </w:t>
      </w:r>
      <w:r w:rsidR="00D141EC">
        <w:rPr>
          <w:sz w:val="24"/>
          <w:szCs w:val="24"/>
        </w:rPr>
        <w:t>these</w:t>
      </w:r>
      <w:r w:rsidR="00270ABF" w:rsidRPr="00A6578E">
        <w:rPr>
          <w:sz w:val="24"/>
          <w:szCs w:val="24"/>
        </w:rPr>
        <w:t xml:space="preserve"> </w:t>
      </w:r>
      <w:r w:rsidR="00270ABF">
        <w:rPr>
          <w:sz w:val="24"/>
          <w:szCs w:val="24"/>
        </w:rPr>
        <w:t xml:space="preserve">legal </w:t>
      </w:r>
      <w:r w:rsidR="00861EE6">
        <w:rPr>
          <w:sz w:val="24"/>
          <w:szCs w:val="24"/>
        </w:rPr>
        <w:t>regimes.</w:t>
      </w:r>
    </w:p>
    <w:p w14:paraId="147270E3" w14:textId="65DEC32C" w:rsidR="00255463" w:rsidRDefault="00BE2E8E" w:rsidP="00D6168A">
      <w:pPr>
        <w:spacing w:after="0" w:line="276" w:lineRule="auto"/>
        <w:ind w:firstLine="720"/>
        <w:jc w:val="both"/>
        <w:rPr>
          <w:sz w:val="24"/>
          <w:szCs w:val="24"/>
        </w:rPr>
      </w:pPr>
      <w:r>
        <w:rPr>
          <w:sz w:val="24"/>
          <w:szCs w:val="24"/>
        </w:rPr>
        <w:t>On these grounds</w:t>
      </w:r>
      <w:r w:rsidR="00A6578E">
        <w:rPr>
          <w:sz w:val="24"/>
          <w:szCs w:val="24"/>
        </w:rPr>
        <w:t xml:space="preserve">, the book has used </w:t>
      </w:r>
      <w:r w:rsidR="00D6168A">
        <w:rPr>
          <w:sz w:val="24"/>
          <w:szCs w:val="24"/>
        </w:rPr>
        <w:t xml:space="preserve">transnational legal analysis </w:t>
      </w:r>
      <w:r w:rsidR="00861EE6">
        <w:rPr>
          <w:sz w:val="24"/>
          <w:szCs w:val="24"/>
        </w:rPr>
        <w:t xml:space="preserve">as a framework to </w:t>
      </w:r>
      <w:r w:rsidR="00861EE6" w:rsidRPr="00861EE6">
        <w:rPr>
          <w:i/>
          <w:iCs/>
          <w:sz w:val="24"/>
          <w:szCs w:val="24"/>
        </w:rPr>
        <w:t>interrogate</w:t>
      </w:r>
      <w:r w:rsidR="00861EE6">
        <w:rPr>
          <w:sz w:val="24"/>
          <w:szCs w:val="24"/>
        </w:rPr>
        <w:t xml:space="preserve"> regulatory </w:t>
      </w:r>
      <w:r w:rsidR="00D947CB">
        <w:rPr>
          <w:sz w:val="24"/>
          <w:szCs w:val="24"/>
        </w:rPr>
        <w:t xml:space="preserve">systems </w:t>
      </w:r>
      <w:r w:rsidR="00861EE6">
        <w:rPr>
          <w:sz w:val="24"/>
          <w:szCs w:val="24"/>
        </w:rPr>
        <w:t xml:space="preserve">and case law, with a view to </w:t>
      </w:r>
      <w:r w:rsidR="00861EE6" w:rsidRPr="00BE2E8E">
        <w:rPr>
          <w:sz w:val="24"/>
          <w:szCs w:val="24"/>
        </w:rPr>
        <w:t>deconstructing transnational narratives</w:t>
      </w:r>
      <w:r w:rsidR="00861EE6" w:rsidRPr="00031802">
        <w:rPr>
          <w:i/>
          <w:iCs/>
          <w:sz w:val="24"/>
          <w:szCs w:val="24"/>
        </w:rPr>
        <w:t xml:space="preserve"> </w:t>
      </w:r>
      <w:r w:rsidR="00A6578E">
        <w:rPr>
          <w:sz w:val="24"/>
          <w:szCs w:val="24"/>
        </w:rPr>
        <w:t>on GE organisms and risk regulation</w:t>
      </w:r>
      <w:r w:rsidR="00861EE6">
        <w:rPr>
          <w:sz w:val="24"/>
          <w:szCs w:val="24"/>
        </w:rPr>
        <w:t>.</w:t>
      </w:r>
      <w:r w:rsidR="00F82F53">
        <w:rPr>
          <w:sz w:val="24"/>
          <w:szCs w:val="24"/>
        </w:rPr>
        <w:t xml:space="preserve"> This differentiates the application of </w:t>
      </w:r>
      <w:r w:rsidR="00A15BB9">
        <w:rPr>
          <w:sz w:val="24"/>
          <w:szCs w:val="24"/>
        </w:rPr>
        <w:t xml:space="preserve">transnational legal analysis </w:t>
      </w:r>
      <w:r w:rsidR="00F82F53">
        <w:rPr>
          <w:sz w:val="24"/>
          <w:szCs w:val="24"/>
        </w:rPr>
        <w:t xml:space="preserve">as a methodological framework from the </w:t>
      </w:r>
      <w:r w:rsidR="00D947CB">
        <w:rPr>
          <w:sz w:val="24"/>
          <w:szCs w:val="24"/>
        </w:rPr>
        <w:t xml:space="preserve">enquiries </w:t>
      </w:r>
      <w:r w:rsidR="00F82F53">
        <w:rPr>
          <w:sz w:val="24"/>
          <w:szCs w:val="24"/>
        </w:rPr>
        <w:t>of both TLP and TLO theory.</w:t>
      </w:r>
      <w:r w:rsidR="00255463">
        <w:rPr>
          <w:sz w:val="24"/>
          <w:szCs w:val="24"/>
        </w:rPr>
        <w:t xml:space="preserve"> As explained in greater detail in the second chapter, the conceptualisation of </w:t>
      </w:r>
      <w:r w:rsidR="00A15BB9">
        <w:rPr>
          <w:sz w:val="24"/>
          <w:szCs w:val="24"/>
        </w:rPr>
        <w:t xml:space="preserve">transnational legal analysis </w:t>
      </w:r>
      <w:r w:rsidR="00255463">
        <w:rPr>
          <w:sz w:val="24"/>
          <w:szCs w:val="24"/>
        </w:rPr>
        <w:t xml:space="preserve">as a methodological framework is indebted to the theorisation of transnational law as a methodological lens under TLP theory. Further, </w:t>
      </w:r>
      <w:r w:rsidR="007B31E4">
        <w:rPr>
          <w:sz w:val="24"/>
          <w:szCs w:val="24"/>
        </w:rPr>
        <w:t xml:space="preserve">TLP theory’s analysis of the evolution of societal and legal dynamics </w:t>
      </w:r>
      <w:r w:rsidR="00D947CB">
        <w:rPr>
          <w:sz w:val="24"/>
          <w:szCs w:val="24"/>
        </w:rPr>
        <w:t>is reflected</w:t>
      </w:r>
      <w:r w:rsidR="007B31E4">
        <w:rPr>
          <w:sz w:val="24"/>
          <w:szCs w:val="24"/>
        </w:rPr>
        <w:t xml:space="preserve"> in the three constituent dimensions of </w:t>
      </w:r>
      <w:r w:rsidR="00A15BB9">
        <w:rPr>
          <w:sz w:val="24"/>
          <w:szCs w:val="24"/>
        </w:rPr>
        <w:t xml:space="preserve">transnational legal analysis </w:t>
      </w:r>
      <w:r w:rsidR="007B31E4">
        <w:rPr>
          <w:sz w:val="24"/>
          <w:szCs w:val="24"/>
        </w:rPr>
        <w:t xml:space="preserve">as a methodological framework: </w:t>
      </w:r>
      <w:r w:rsidR="00D947CB">
        <w:rPr>
          <w:sz w:val="24"/>
          <w:szCs w:val="24"/>
        </w:rPr>
        <w:t>extra</w:t>
      </w:r>
      <w:r w:rsidR="007B31E4">
        <w:rPr>
          <w:sz w:val="24"/>
          <w:szCs w:val="24"/>
        </w:rPr>
        <w:t xml:space="preserve">-territoriality, legal pluralisation and legal hybridisation. In other words, as explained in the second chapter, the </w:t>
      </w:r>
      <w:r w:rsidR="00D141EC">
        <w:rPr>
          <w:sz w:val="24"/>
          <w:szCs w:val="24"/>
        </w:rPr>
        <w:t>deconstruction and examination</w:t>
      </w:r>
      <w:r w:rsidR="007B31E4">
        <w:rPr>
          <w:sz w:val="24"/>
          <w:szCs w:val="24"/>
        </w:rPr>
        <w:t xml:space="preserve"> of transnational narratives from within (extra-territoriality), across (legal pluralisation) and beyond (legal hybridisation) the nation state level is a reflection of the evolution of law</w:t>
      </w:r>
      <w:r w:rsidR="00D947CB">
        <w:rPr>
          <w:sz w:val="24"/>
          <w:szCs w:val="24"/>
        </w:rPr>
        <w:t xml:space="preserve"> </w:t>
      </w:r>
      <w:r w:rsidR="00A15BB9">
        <w:rPr>
          <w:sz w:val="24"/>
          <w:szCs w:val="24"/>
        </w:rPr>
        <w:t xml:space="preserve">at times of globalisation </w:t>
      </w:r>
      <w:r w:rsidR="00D947CB">
        <w:rPr>
          <w:sz w:val="24"/>
          <w:szCs w:val="24"/>
        </w:rPr>
        <w:t>and</w:t>
      </w:r>
      <w:r w:rsidR="00A15BB9">
        <w:rPr>
          <w:sz w:val="24"/>
          <w:szCs w:val="24"/>
        </w:rPr>
        <w:t xml:space="preserve"> of</w:t>
      </w:r>
      <w:r w:rsidR="00D947CB">
        <w:rPr>
          <w:sz w:val="24"/>
          <w:szCs w:val="24"/>
        </w:rPr>
        <w:t xml:space="preserve"> its increasing extra-territorial impact, pluralisation and hybrid nature</w:t>
      </w:r>
      <w:r w:rsidR="001E02AE">
        <w:rPr>
          <w:sz w:val="24"/>
          <w:szCs w:val="24"/>
        </w:rPr>
        <w:t xml:space="preserve">. However, the methodological conceptualisation of </w:t>
      </w:r>
      <w:r w:rsidR="00A15BB9">
        <w:rPr>
          <w:sz w:val="24"/>
          <w:szCs w:val="24"/>
        </w:rPr>
        <w:t xml:space="preserve">transnational legal analysis </w:t>
      </w:r>
      <w:r w:rsidR="001E02AE">
        <w:rPr>
          <w:sz w:val="24"/>
          <w:szCs w:val="24"/>
        </w:rPr>
        <w:t xml:space="preserve">in this book goes hand in hand with a close focus on </w:t>
      </w:r>
      <w:r w:rsidR="001E02AE" w:rsidRPr="00BE2E8E">
        <w:rPr>
          <w:sz w:val="24"/>
          <w:szCs w:val="24"/>
        </w:rPr>
        <w:t>structural regulatory issues</w:t>
      </w:r>
      <w:r w:rsidR="00A15BB9">
        <w:rPr>
          <w:sz w:val="24"/>
          <w:szCs w:val="24"/>
        </w:rPr>
        <w:t>. R</w:t>
      </w:r>
      <w:r w:rsidR="000744B3" w:rsidRPr="00BE2E8E">
        <w:rPr>
          <w:sz w:val="24"/>
          <w:szCs w:val="24"/>
        </w:rPr>
        <w:t>egulatory</w:t>
      </w:r>
      <w:r w:rsidR="001E02AE" w:rsidRPr="00BE2E8E">
        <w:rPr>
          <w:sz w:val="24"/>
          <w:szCs w:val="24"/>
        </w:rPr>
        <w:t xml:space="preserve"> frameworks and case law lie at the heart of the enquiry</w:t>
      </w:r>
      <w:r w:rsidR="000744B3" w:rsidRPr="00BE2E8E">
        <w:rPr>
          <w:sz w:val="24"/>
          <w:szCs w:val="24"/>
        </w:rPr>
        <w:t xml:space="preserve"> into transnational discourses</w:t>
      </w:r>
      <w:r w:rsidR="001E02AE" w:rsidRPr="00BE2E8E">
        <w:rPr>
          <w:sz w:val="24"/>
          <w:szCs w:val="24"/>
        </w:rPr>
        <w:t xml:space="preserve">. This differentiates the application of </w:t>
      </w:r>
      <w:r w:rsidR="00A15BB9">
        <w:rPr>
          <w:sz w:val="24"/>
          <w:szCs w:val="24"/>
        </w:rPr>
        <w:t xml:space="preserve">transnational legal analysis </w:t>
      </w:r>
      <w:r w:rsidR="001E02AE" w:rsidRPr="00BE2E8E">
        <w:rPr>
          <w:sz w:val="24"/>
          <w:szCs w:val="24"/>
        </w:rPr>
        <w:t xml:space="preserve">from TLP theory, </w:t>
      </w:r>
      <w:r w:rsidR="00C64243" w:rsidRPr="00BE2E8E">
        <w:rPr>
          <w:sz w:val="24"/>
          <w:szCs w:val="24"/>
        </w:rPr>
        <w:t>as the latter</w:t>
      </w:r>
      <w:r w:rsidR="001E02AE" w:rsidRPr="00BE2E8E">
        <w:rPr>
          <w:sz w:val="24"/>
          <w:szCs w:val="24"/>
        </w:rPr>
        <w:t xml:space="preserve"> </w:t>
      </w:r>
      <w:r w:rsidR="00EC0615" w:rsidRPr="00BE2E8E">
        <w:rPr>
          <w:sz w:val="24"/>
          <w:szCs w:val="24"/>
        </w:rPr>
        <w:t xml:space="preserve">focuses on questions of agency </w:t>
      </w:r>
      <w:r w:rsidR="00EC0615">
        <w:rPr>
          <w:sz w:val="24"/>
          <w:szCs w:val="24"/>
        </w:rPr>
        <w:t>and the triad of Actors, Norms and Processes.</w:t>
      </w:r>
    </w:p>
    <w:p w14:paraId="2CA0BC12" w14:textId="3F7B306F" w:rsidR="00BE2824" w:rsidRDefault="00C64243" w:rsidP="00A15BB9">
      <w:pPr>
        <w:spacing w:after="0" w:line="276" w:lineRule="auto"/>
        <w:ind w:firstLine="720"/>
        <w:jc w:val="both"/>
        <w:rPr>
          <w:sz w:val="24"/>
          <w:szCs w:val="24"/>
        </w:rPr>
      </w:pPr>
      <w:r>
        <w:rPr>
          <w:sz w:val="24"/>
          <w:szCs w:val="24"/>
        </w:rPr>
        <w:t>In a similar vein, the methodological framework of the book is indebted to</w:t>
      </w:r>
      <w:r w:rsidR="00BE2824">
        <w:rPr>
          <w:sz w:val="24"/>
          <w:szCs w:val="24"/>
        </w:rPr>
        <w:t xml:space="preserve"> the acknowledgment in </w:t>
      </w:r>
      <w:r>
        <w:rPr>
          <w:sz w:val="24"/>
          <w:szCs w:val="24"/>
        </w:rPr>
        <w:t>TLO theory</w:t>
      </w:r>
      <w:r w:rsidR="00BE2824">
        <w:rPr>
          <w:sz w:val="24"/>
          <w:szCs w:val="24"/>
        </w:rPr>
        <w:t xml:space="preserve"> that the nation state level and </w:t>
      </w:r>
      <w:r w:rsidR="00D947CB">
        <w:rPr>
          <w:sz w:val="24"/>
          <w:szCs w:val="24"/>
        </w:rPr>
        <w:t xml:space="preserve">other </w:t>
      </w:r>
      <w:r w:rsidR="00BE2824">
        <w:rPr>
          <w:sz w:val="24"/>
          <w:szCs w:val="24"/>
        </w:rPr>
        <w:t>positive legal regimes are part of the transnational picture.</w:t>
      </w:r>
      <w:r w:rsidR="00901566">
        <w:rPr>
          <w:rStyle w:val="Rimandonotaapidipagina"/>
          <w:sz w:val="24"/>
          <w:szCs w:val="24"/>
        </w:rPr>
        <w:footnoteReference w:id="2"/>
      </w:r>
      <w:r w:rsidR="00BE2824">
        <w:rPr>
          <w:sz w:val="24"/>
          <w:szCs w:val="24"/>
        </w:rPr>
        <w:t xml:space="preserve"> However, yet again, the object of enquiry differs. TLO theory has focused on the analysis of discrete TLOs, framing transnational law as a specific form of socio-legal ordering. In a very different vein, </w:t>
      </w:r>
      <w:r w:rsidR="00A15BB9">
        <w:rPr>
          <w:sz w:val="24"/>
          <w:szCs w:val="24"/>
        </w:rPr>
        <w:t xml:space="preserve">transnational legal analysis as a methodological framework </w:t>
      </w:r>
      <w:r w:rsidR="00BE2824">
        <w:rPr>
          <w:sz w:val="24"/>
          <w:szCs w:val="24"/>
        </w:rPr>
        <w:t>places</w:t>
      </w:r>
      <w:r w:rsidR="00FD49A2">
        <w:rPr>
          <w:sz w:val="24"/>
          <w:szCs w:val="24"/>
        </w:rPr>
        <w:t xml:space="preserve"> the deconstruction </w:t>
      </w:r>
      <w:r w:rsidR="00FD49A2" w:rsidRPr="00FD49A2">
        <w:rPr>
          <w:sz w:val="24"/>
          <w:szCs w:val="24"/>
        </w:rPr>
        <w:t>of</w:t>
      </w:r>
      <w:r w:rsidR="00BE2824" w:rsidRPr="00FD49A2">
        <w:rPr>
          <w:sz w:val="24"/>
          <w:szCs w:val="24"/>
        </w:rPr>
        <w:t xml:space="preserve"> transnational narratives </w:t>
      </w:r>
      <w:r w:rsidR="00BE2824">
        <w:rPr>
          <w:sz w:val="24"/>
          <w:szCs w:val="24"/>
        </w:rPr>
        <w:t>at the centre of the enquiry.</w:t>
      </w:r>
      <w:r w:rsidR="008A1A46">
        <w:rPr>
          <w:sz w:val="24"/>
          <w:szCs w:val="24"/>
        </w:rPr>
        <w:t xml:space="preserve"> This reflect</w:t>
      </w:r>
      <w:r w:rsidR="00762FCE">
        <w:rPr>
          <w:sz w:val="24"/>
          <w:szCs w:val="24"/>
        </w:rPr>
        <w:t>s</w:t>
      </w:r>
      <w:r w:rsidR="008A1A46">
        <w:rPr>
          <w:sz w:val="24"/>
          <w:szCs w:val="24"/>
        </w:rPr>
        <w:t xml:space="preserve"> an unequivocally </w:t>
      </w:r>
      <w:r w:rsidR="00BE2824">
        <w:rPr>
          <w:sz w:val="24"/>
          <w:szCs w:val="24"/>
        </w:rPr>
        <w:t xml:space="preserve">methodological understanding </w:t>
      </w:r>
      <w:r w:rsidR="008A1A46">
        <w:rPr>
          <w:sz w:val="24"/>
          <w:szCs w:val="24"/>
        </w:rPr>
        <w:t xml:space="preserve">of “transnational law”, which is clearly differentiated from the analysis of TLOs as </w:t>
      </w:r>
      <w:r w:rsidR="000744B3">
        <w:rPr>
          <w:sz w:val="24"/>
          <w:szCs w:val="24"/>
        </w:rPr>
        <w:t>“</w:t>
      </w:r>
      <w:r w:rsidR="008A1A46">
        <w:rPr>
          <w:sz w:val="24"/>
          <w:szCs w:val="24"/>
        </w:rPr>
        <w:t>quasi-fields</w:t>
      </w:r>
      <w:r w:rsidR="000744B3">
        <w:rPr>
          <w:sz w:val="24"/>
          <w:szCs w:val="24"/>
        </w:rPr>
        <w:t>”</w:t>
      </w:r>
      <w:r w:rsidR="008A1A46">
        <w:rPr>
          <w:sz w:val="24"/>
          <w:szCs w:val="24"/>
        </w:rPr>
        <w:t xml:space="preserve"> of law.</w:t>
      </w:r>
    </w:p>
    <w:p w14:paraId="7F992FCD" w14:textId="7717AC55" w:rsidR="00762FCE" w:rsidRDefault="00BE2E8E" w:rsidP="00A15BB9">
      <w:pPr>
        <w:spacing w:after="0" w:line="276" w:lineRule="auto"/>
        <w:ind w:firstLine="720"/>
        <w:jc w:val="both"/>
        <w:rPr>
          <w:sz w:val="24"/>
          <w:szCs w:val="24"/>
        </w:rPr>
      </w:pPr>
      <w:r>
        <w:rPr>
          <w:sz w:val="24"/>
          <w:szCs w:val="24"/>
        </w:rPr>
        <w:t>B</w:t>
      </w:r>
      <w:r w:rsidR="00762FCE">
        <w:rPr>
          <w:sz w:val="24"/>
          <w:szCs w:val="24"/>
        </w:rPr>
        <w:t>y applying</w:t>
      </w:r>
      <w:r w:rsidR="00762FCE" w:rsidRPr="005D57C0">
        <w:rPr>
          <w:sz w:val="24"/>
          <w:szCs w:val="24"/>
        </w:rPr>
        <w:t xml:space="preserve"> </w:t>
      </w:r>
      <w:r w:rsidR="00762FCE">
        <w:rPr>
          <w:sz w:val="24"/>
          <w:szCs w:val="24"/>
        </w:rPr>
        <w:t>“methodological transnationalism”</w:t>
      </w:r>
      <w:r w:rsidR="00762FCE" w:rsidRPr="005D57C0">
        <w:rPr>
          <w:sz w:val="24"/>
          <w:szCs w:val="24"/>
        </w:rPr>
        <w:t xml:space="preserve"> to a specific regulatory question within a discrete area of regulatory governance</w:t>
      </w:r>
      <w:r w:rsidR="00762FCE">
        <w:rPr>
          <w:sz w:val="24"/>
          <w:szCs w:val="24"/>
        </w:rPr>
        <w:t>,</w:t>
      </w:r>
      <w:r w:rsidR="008A1A46">
        <w:rPr>
          <w:sz w:val="24"/>
          <w:szCs w:val="24"/>
        </w:rPr>
        <w:t xml:space="preserve"> </w:t>
      </w:r>
      <w:r w:rsidR="009D469E">
        <w:rPr>
          <w:sz w:val="24"/>
          <w:szCs w:val="24"/>
        </w:rPr>
        <w:t xml:space="preserve">the book shows the value of conceptualising </w:t>
      </w:r>
      <w:r w:rsidR="00A15BB9">
        <w:rPr>
          <w:sz w:val="24"/>
          <w:szCs w:val="24"/>
        </w:rPr>
        <w:t>transnational legal analysis</w:t>
      </w:r>
      <w:r w:rsidR="009D469E">
        <w:rPr>
          <w:sz w:val="24"/>
          <w:szCs w:val="24"/>
        </w:rPr>
        <w:t xml:space="preserve"> as a methodological framework</w:t>
      </w:r>
      <w:r w:rsidR="000E60DB">
        <w:rPr>
          <w:sz w:val="24"/>
          <w:szCs w:val="24"/>
        </w:rPr>
        <w:t>.</w:t>
      </w:r>
      <w:r w:rsidR="00762FCE">
        <w:rPr>
          <w:sz w:val="24"/>
          <w:szCs w:val="24"/>
        </w:rPr>
        <w:t xml:space="preserve"> </w:t>
      </w:r>
      <w:r w:rsidR="000E60DB">
        <w:rPr>
          <w:sz w:val="24"/>
          <w:szCs w:val="24"/>
        </w:rPr>
        <w:t>A</w:t>
      </w:r>
      <w:r w:rsidR="000744B3">
        <w:rPr>
          <w:sz w:val="24"/>
          <w:szCs w:val="24"/>
        </w:rPr>
        <w:t xml:space="preserve">s </w:t>
      </w:r>
      <w:r w:rsidR="00D141EC">
        <w:rPr>
          <w:sz w:val="24"/>
          <w:szCs w:val="24"/>
        </w:rPr>
        <w:t>summarised</w:t>
      </w:r>
      <w:r w:rsidR="000744B3">
        <w:rPr>
          <w:sz w:val="24"/>
          <w:szCs w:val="24"/>
        </w:rPr>
        <w:t xml:space="preserve"> above, </w:t>
      </w:r>
      <w:r w:rsidR="00A15BB9">
        <w:rPr>
          <w:sz w:val="24"/>
          <w:szCs w:val="24"/>
        </w:rPr>
        <w:t xml:space="preserve">transnational legal analysis </w:t>
      </w:r>
      <w:r w:rsidR="009D469E">
        <w:rPr>
          <w:sz w:val="24"/>
          <w:szCs w:val="24"/>
        </w:rPr>
        <w:t xml:space="preserve">is used to </w:t>
      </w:r>
      <w:r w:rsidR="009D469E" w:rsidRPr="00D141EC">
        <w:rPr>
          <w:sz w:val="24"/>
          <w:szCs w:val="24"/>
        </w:rPr>
        <w:t>interrogate</w:t>
      </w:r>
      <w:r w:rsidR="009D469E">
        <w:rPr>
          <w:sz w:val="24"/>
          <w:szCs w:val="24"/>
        </w:rPr>
        <w:t xml:space="preserve"> different regulatory frameworks and bodies of case law in transnationally relevant legal systems. A mere focus on “beyond the state” actors and hybrid patterns of regulatory governance cannot do justice to the social construction of transnational narratives within, across and beyond the nation state level</w:t>
      </w:r>
      <w:r w:rsidR="006C30FD">
        <w:rPr>
          <w:sz w:val="24"/>
          <w:szCs w:val="24"/>
        </w:rPr>
        <w:t>. N</w:t>
      </w:r>
      <w:r w:rsidR="009D469E">
        <w:rPr>
          <w:sz w:val="24"/>
          <w:szCs w:val="24"/>
        </w:rPr>
        <w:t xml:space="preserve">or can it </w:t>
      </w:r>
      <w:r w:rsidR="00901566">
        <w:rPr>
          <w:sz w:val="24"/>
          <w:szCs w:val="24"/>
        </w:rPr>
        <w:t>help explore</w:t>
      </w:r>
      <w:r w:rsidR="009D469E">
        <w:rPr>
          <w:sz w:val="24"/>
          <w:szCs w:val="24"/>
        </w:rPr>
        <w:t xml:space="preserve"> </w:t>
      </w:r>
      <w:r w:rsidR="009D469E">
        <w:rPr>
          <w:sz w:val="24"/>
          <w:szCs w:val="24"/>
        </w:rPr>
        <w:lastRenderedPageBreak/>
        <w:t>transnational discourses</w:t>
      </w:r>
      <w:r w:rsidR="00901566">
        <w:rPr>
          <w:sz w:val="24"/>
          <w:szCs w:val="24"/>
        </w:rPr>
        <w:t xml:space="preserve"> and</w:t>
      </w:r>
      <w:r w:rsidR="009D469E">
        <w:rPr>
          <w:sz w:val="24"/>
          <w:szCs w:val="24"/>
        </w:rPr>
        <w:t xml:space="preserve"> their origins. Equally, the mere identification of conflicting transnational narratives </w:t>
      </w:r>
      <w:r w:rsidR="00901566">
        <w:rPr>
          <w:sz w:val="24"/>
          <w:szCs w:val="24"/>
        </w:rPr>
        <w:t>cannot possibly uncover their rationale</w:t>
      </w:r>
      <w:r w:rsidR="001F5773">
        <w:rPr>
          <w:sz w:val="24"/>
          <w:szCs w:val="24"/>
        </w:rPr>
        <w:t>s</w:t>
      </w:r>
      <w:r w:rsidR="00901566">
        <w:rPr>
          <w:sz w:val="24"/>
          <w:szCs w:val="24"/>
        </w:rPr>
        <w:t xml:space="preserve">, underlying value systems, goals and </w:t>
      </w:r>
      <w:r w:rsidR="005D1CC9">
        <w:rPr>
          <w:sz w:val="24"/>
          <w:szCs w:val="24"/>
        </w:rPr>
        <w:t xml:space="preserve">political, socio-economic and distributional </w:t>
      </w:r>
      <w:r w:rsidR="00901566">
        <w:rPr>
          <w:sz w:val="24"/>
          <w:szCs w:val="24"/>
        </w:rPr>
        <w:t xml:space="preserve">implications. </w:t>
      </w:r>
      <w:r w:rsidR="00D141EC">
        <w:rPr>
          <w:sz w:val="24"/>
          <w:szCs w:val="24"/>
        </w:rPr>
        <w:t>This</w:t>
      </w:r>
      <w:r w:rsidR="00901566">
        <w:rPr>
          <w:sz w:val="24"/>
          <w:szCs w:val="24"/>
        </w:rPr>
        <w:t xml:space="preserve"> can only be done through an analysis of the </w:t>
      </w:r>
      <w:r w:rsidR="00901566" w:rsidRPr="006C30FD">
        <w:rPr>
          <w:sz w:val="24"/>
          <w:szCs w:val="24"/>
        </w:rPr>
        <w:t xml:space="preserve">specific legal systems where the narratives </w:t>
      </w:r>
      <w:r w:rsidR="00901566">
        <w:rPr>
          <w:sz w:val="24"/>
          <w:szCs w:val="24"/>
        </w:rPr>
        <w:t xml:space="preserve">are </w:t>
      </w:r>
      <w:r w:rsidR="00901566" w:rsidRPr="00284636">
        <w:rPr>
          <w:sz w:val="24"/>
          <w:szCs w:val="24"/>
        </w:rPr>
        <w:t>embedded</w:t>
      </w:r>
      <w:r w:rsidR="00901566">
        <w:rPr>
          <w:sz w:val="24"/>
          <w:szCs w:val="24"/>
        </w:rPr>
        <w:t>.</w:t>
      </w:r>
    </w:p>
    <w:p w14:paraId="6DBB05F3" w14:textId="20081A44" w:rsidR="0033707F" w:rsidRDefault="00901566" w:rsidP="00A15BB9">
      <w:pPr>
        <w:spacing w:after="0" w:line="276" w:lineRule="auto"/>
        <w:ind w:firstLine="720"/>
        <w:jc w:val="both"/>
        <w:rPr>
          <w:sz w:val="24"/>
          <w:szCs w:val="24"/>
        </w:rPr>
      </w:pPr>
      <w:r>
        <w:rPr>
          <w:sz w:val="24"/>
          <w:szCs w:val="24"/>
        </w:rPr>
        <w:t xml:space="preserve">The introductory section in each chapter has </w:t>
      </w:r>
      <w:r w:rsidR="000744B3">
        <w:rPr>
          <w:sz w:val="24"/>
          <w:szCs w:val="24"/>
        </w:rPr>
        <w:t>focused on</w:t>
      </w:r>
      <w:r>
        <w:rPr>
          <w:sz w:val="24"/>
          <w:szCs w:val="24"/>
        </w:rPr>
        <w:t xml:space="preserve"> the application of the</w:t>
      </w:r>
      <w:r w:rsidR="00284636">
        <w:rPr>
          <w:sz w:val="24"/>
          <w:szCs w:val="24"/>
        </w:rPr>
        <w:t xml:space="preserve"> methodological</w:t>
      </w:r>
      <w:r>
        <w:rPr>
          <w:sz w:val="24"/>
          <w:szCs w:val="24"/>
        </w:rPr>
        <w:t xml:space="preserve"> framework and relevant findings</w:t>
      </w:r>
      <w:r w:rsidR="000744B3">
        <w:rPr>
          <w:sz w:val="24"/>
          <w:szCs w:val="24"/>
        </w:rPr>
        <w:t>, addressing</w:t>
      </w:r>
      <w:r w:rsidR="00D977C3">
        <w:rPr>
          <w:sz w:val="24"/>
          <w:szCs w:val="24"/>
        </w:rPr>
        <w:t xml:space="preserve"> four different </w:t>
      </w:r>
      <w:r w:rsidR="00B17781">
        <w:rPr>
          <w:sz w:val="24"/>
          <w:szCs w:val="24"/>
        </w:rPr>
        <w:t>but</w:t>
      </w:r>
      <w:r w:rsidR="00D977C3">
        <w:rPr>
          <w:sz w:val="24"/>
          <w:szCs w:val="24"/>
        </w:rPr>
        <w:t xml:space="preserve"> interconnected questions. The first question relates to</w:t>
      </w:r>
      <w:r w:rsidR="00B17781">
        <w:rPr>
          <w:sz w:val="24"/>
          <w:szCs w:val="24"/>
        </w:rPr>
        <w:t xml:space="preserve"> the </w:t>
      </w:r>
      <w:r w:rsidR="00B17781" w:rsidRPr="006C30FD">
        <w:rPr>
          <w:sz w:val="24"/>
          <w:szCs w:val="24"/>
        </w:rPr>
        <w:t>narrative</w:t>
      </w:r>
      <w:r w:rsidR="00B17781">
        <w:rPr>
          <w:sz w:val="24"/>
          <w:szCs w:val="24"/>
        </w:rPr>
        <w:t xml:space="preserve"> under analysis throughout the specific chapter</w:t>
      </w:r>
      <w:r w:rsidR="00B91392">
        <w:rPr>
          <w:sz w:val="24"/>
          <w:szCs w:val="24"/>
        </w:rPr>
        <w:t>s</w:t>
      </w:r>
      <w:r w:rsidR="00B17781">
        <w:rPr>
          <w:sz w:val="24"/>
          <w:szCs w:val="24"/>
        </w:rPr>
        <w:t>.</w:t>
      </w:r>
      <w:r w:rsidR="00793908">
        <w:rPr>
          <w:sz w:val="24"/>
          <w:szCs w:val="24"/>
        </w:rPr>
        <w:t xml:space="preserve"> The third</w:t>
      </w:r>
      <w:r w:rsidR="00FD49A2">
        <w:rPr>
          <w:sz w:val="24"/>
          <w:szCs w:val="24"/>
        </w:rPr>
        <w:t xml:space="preserve"> chapter</w:t>
      </w:r>
      <w:r w:rsidR="00793908">
        <w:rPr>
          <w:sz w:val="24"/>
          <w:szCs w:val="24"/>
        </w:rPr>
        <w:t>, fifth</w:t>
      </w:r>
      <w:r w:rsidR="00FD49A2">
        <w:rPr>
          <w:sz w:val="24"/>
          <w:szCs w:val="24"/>
        </w:rPr>
        <w:t xml:space="preserve"> chapter</w:t>
      </w:r>
      <w:r w:rsidR="00793908">
        <w:rPr>
          <w:sz w:val="24"/>
          <w:szCs w:val="24"/>
        </w:rPr>
        <w:t xml:space="preserve"> and </w:t>
      </w:r>
      <w:r w:rsidR="00FD49A2">
        <w:rPr>
          <w:sz w:val="24"/>
          <w:szCs w:val="24"/>
        </w:rPr>
        <w:t xml:space="preserve">first part of the </w:t>
      </w:r>
      <w:r w:rsidR="00793908">
        <w:rPr>
          <w:sz w:val="24"/>
          <w:szCs w:val="24"/>
        </w:rPr>
        <w:t>sixth chapte</w:t>
      </w:r>
      <w:r w:rsidR="00FD49A2">
        <w:rPr>
          <w:sz w:val="24"/>
          <w:szCs w:val="24"/>
        </w:rPr>
        <w:t>r</w:t>
      </w:r>
      <w:r w:rsidR="00793908">
        <w:rPr>
          <w:sz w:val="24"/>
          <w:szCs w:val="24"/>
        </w:rPr>
        <w:t xml:space="preserve"> have </w:t>
      </w:r>
      <w:r w:rsidR="00FD49A2">
        <w:rPr>
          <w:sz w:val="24"/>
          <w:szCs w:val="24"/>
        </w:rPr>
        <w:t>focused on the hegemonic narrative on GE organisms and risk governance</w:t>
      </w:r>
      <w:r w:rsidR="006C30FD">
        <w:rPr>
          <w:sz w:val="24"/>
          <w:szCs w:val="24"/>
        </w:rPr>
        <w:t>. T</w:t>
      </w:r>
      <w:r w:rsidR="00FD49A2">
        <w:rPr>
          <w:sz w:val="24"/>
          <w:szCs w:val="24"/>
        </w:rPr>
        <w:t xml:space="preserve">he fourth chapter and second part of the sixth chapter, on the other hand, have turned to the counter-hegemonic narrative. </w:t>
      </w:r>
    </w:p>
    <w:p w14:paraId="5167DDD4" w14:textId="1C84AB87" w:rsidR="00B91392" w:rsidRDefault="00FD49A2" w:rsidP="00A15BB9">
      <w:pPr>
        <w:spacing w:after="0" w:line="276" w:lineRule="auto"/>
        <w:ind w:firstLine="720"/>
        <w:jc w:val="both"/>
        <w:rPr>
          <w:sz w:val="24"/>
          <w:szCs w:val="24"/>
        </w:rPr>
      </w:pPr>
      <w:r>
        <w:rPr>
          <w:sz w:val="24"/>
          <w:szCs w:val="24"/>
        </w:rPr>
        <w:t xml:space="preserve">The second question focuses on the </w:t>
      </w:r>
      <w:r w:rsidRPr="006C30FD">
        <w:rPr>
          <w:sz w:val="24"/>
          <w:szCs w:val="24"/>
        </w:rPr>
        <w:t>transnational relevance of the legal system</w:t>
      </w:r>
      <w:r w:rsidR="006A75FD" w:rsidRPr="006C30FD">
        <w:rPr>
          <w:sz w:val="24"/>
          <w:szCs w:val="24"/>
        </w:rPr>
        <w:t>s</w:t>
      </w:r>
      <w:r w:rsidRPr="006C30FD">
        <w:rPr>
          <w:sz w:val="24"/>
          <w:szCs w:val="24"/>
        </w:rPr>
        <w:t xml:space="preserve"> under analysis</w:t>
      </w:r>
      <w:r w:rsidR="006A75FD" w:rsidRPr="006C30FD">
        <w:rPr>
          <w:sz w:val="24"/>
          <w:szCs w:val="24"/>
        </w:rPr>
        <w:t xml:space="preserve"> throughout the chapters</w:t>
      </w:r>
      <w:r w:rsidR="00AF1832">
        <w:rPr>
          <w:sz w:val="24"/>
          <w:szCs w:val="24"/>
        </w:rPr>
        <w:t>; i</w:t>
      </w:r>
      <w:r w:rsidR="006A75FD" w:rsidRPr="006C30FD">
        <w:rPr>
          <w:sz w:val="24"/>
          <w:szCs w:val="24"/>
        </w:rPr>
        <w:t>t</w:t>
      </w:r>
      <w:r w:rsidRPr="006C30FD">
        <w:rPr>
          <w:sz w:val="24"/>
          <w:szCs w:val="24"/>
        </w:rPr>
        <w:t xml:space="preserve"> </w:t>
      </w:r>
      <w:r w:rsidR="00B91392" w:rsidRPr="006C30FD">
        <w:rPr>
          <w:sz w:val="24"/>
          <w:szCs w:val="24"/>
        </w:rPr>
        <w:t xml:space="preserve">asks why </w:t>
      </w:r>
      <w:r w:rsidR="00495A10" w:rsidRPr="006C30FD">
        <w:rPr>
          <w:sz w:val="24"/>
          <w:szCs w:val="24"/>
        </w:rPr>
        <w:t>the</w:t>
      </w:r>
      <w:r w:rsidR="006A75FD" w:rsidRPr="006C30FD">
        <w:rPr>
          <w:sz w:val="24"/>
          <w:szCs w:val="24"/>
        </w:rPr>
        <w:t>se</w:t>
      </w:r>
      <w:r w:rsidR="00495A10" w:rsidRPr="006C30FD">
        <w:rPr>
          <w:sz w:val="24"/>
          <w:szCs w:val="24"/>
        </w:rPr>
        <w:t xml:space="preserve"> legal system</w:t>
      </w:r>
      <w:r w:rsidR="006A75FD" w:rsidRPr="006C30FD">
        <w:rPr>
          <w:sz w:val="24"/>
          <w:szCs w:val="24"/>
        </w:rPr>
        <w:t>s</w:t>
      </w:r>
      <w:r w:rsidR="00495A10" w:rsidRPr="006C30FD">
        <w:rPr>
          <w:sz w:val="24"/>
          <w:szCs w:val="24"/>
        </w:rPr>
        <w:t xml:space="preserve"> </w:t>
      </w:r>
      <w:r w:rsidR="006A75FD" w:rsidRPr="006C30FD">
        <w:rPr>
          <w:sz w:val="24"/>
          <w:szCs w:val="24"/>
        </w:rPr>
        <w:t>are</w:t>
      </w:r>
      <w:r w:rsidR="00495A10" w:rsidRPr="006C30FD">
        <w:rPr>
          <w:sz w:val="24"/>
          <w:szCs w:val="24"/>
        </w:rPr>
        <w:t xml:space="preserve"> the object of analysis, what the transnational impact of the</w:t>
      </w:r>
      <w:r w:rsidR="006A75FD" w:rsidRPr="006C30FD">
        <w:rPr>
          <w:sz w:val="24"/>
          <w:szCs w:val="24"/>
        </w:rPr>
        <w:t>se legal regimes has been and how the hegemonic or counter-hegemonic</w:t>
      </w:r>
      <w:r w:rsidR="006A75FD">
        <w:rPr>
          <w:sz w:val="24"/>
          <w:szCs w:val="24"/>
        </w:rPr>
        <w:t xml:space="preserve"> narratives have been constructed, reinforced or challenged within these legal systems. The US system</w:t>
      </w:r>
      <w:r w:rsidR="0033707F">
        <w:rPr>
          <w:sz w:val="24"/>
          <w:szCs w:val="24"/>
        </w:rPr>
        <w:t xml:space="preserve"> is the legal order where the </w:t>
      </w:r>
      <w:r w:rsidR="005D1CC9">
        <w:rPr>
          <w:sz w:val="24"/>
          <w:szCs w:val="24"/>
        </w:rPr>
        <w:t xml:space="preserve">transnational </w:t>
      </w:r>
      <w:r w:rsidR="0033707F">
        <w:rPr>
          <w:sz w:val="24"/>
          <w:szCs w:val="24"/>
        </w:rPr>
        <w:t>hegemonic narrative on GE organisms originated</w:t>
      </w:r>
      <w:r w:rsidR="00AF1832">
        <w:rPr>
          <w:sz w:val="24"/>
          <w:szCs w:val="24"/>
        </w:rPr>
        <w:t>. T</w:t>
      </w:r>
      <w:r w:rsidR="007C4666">
        <w:rPr>
          <w:sz w:val="24"/>
          <w:szCs w:val="24"/>
        </w:rPr>
        <w:t xml:space="preserve">his is where the discourse on the benefits of agricultural biotechnologies </w:t>
      </w:r>
      <w:r w:rsidR="00AF1832">
        <w:rPr>
          <w:sz w:val="24"/>
          <w:szCs w:val="24"/>
        </w:rPr>
        <w:t>and the</w:t>
      </w:r>
      <w:r w:rsidR="007C4666">
        <w:rPr>
          <w:sz w:val="24"/>
          <w:szCs w:val="24"/>
        </w:rPr>
        <w:t xml:space="preserve"> economic costs of precaution first surfaced. </w:t>
      </w:r>
      <w:r w:rsidR="006C30FD">
        <w:rPr>
          <w:sz w:val="24"/>
          <w:szCs w:val="24"/>
        </w:rPr>
        <w:t xml:space="preserve">Regulatory notions </w:t>
      </w:r>
      <w:r w:rsidR="0033707F">
        <w:rPr>
          <w:sz w:val="24"/>
          <w:szCs w:val="24"/>
        </w:rPr>
        <w:t xml:space="preserve">such as sound science or cost-benefit analysis, first </w:t>
      </w:r>
      <w:r w:rsidR="007C4666">
        <w:rPr>
          <w:sz w:val="24"/>
          <w:szCs w:val="24"/>
        </w:rPr>
        <w:t>developed and employed in US risk governance, have become</w:t>
      </w:r>
      <w:r w:rsidR="00824AD9">
        <w:rPr>
          <w:sz w:val="24"/>
          <w:szCs w:val="24"/>
        </w:rPr>
        <w:t xml:space="preserve"> a</w:t>
      </w:r>
      <w:r w:rsidR="007C4666">
        <w:rPr>
          <w:sz w:val="24"/>
          <w:szCs w:val="24"/>
        </w:rPr>
        <w:t xml:space="preserve"> constituent part of hegemonic </w:t>
      </w:r>
      <w:r w:rsidR="001F5773">
        <w:rPr>
          <w:sz w:val="24"/>
          <w:szCs w:val="24"/>
        </w:rPr>
        <w:t xml:space="preserve">discourses </w:t>
      </w:r>
      <w:r w:rsidR="00E4502A">
        <w:rPr>
          <w:sz w:val="24"/>
          <w:szCs w:val="24"/>
        </w:rPr>
        <w:t>on risk regulation;</w:t>
      </w:r>
      <w:r w:rsidR="007C4666">
        <w:rPr>
          <w:sz w:val="24"/>
          <w:szCs w:val="24"/>
        </w:rPr>
        <w:t xml:space="preserve"> thus, </w:t>
      </w:r>
      <w:r w:rsidR="00E4502A">
        <w:rPr>
          <w:sz w:val="24"/>
          <w:szCs w:val="24"/>
        </w:rPr>
        <w:t>US</w:t>
      </w:r>
      <w:r w:rsidR="007C4666">
        <w:rPr>
          <w:sz w:val="24"/>
          <w:szCs w:val="24"/>
        </w:rPr>
        <w:t xml:space="preserve"> regulatory categories have clear transnational relevance. This reflects the logics of extra-territoriality</w:t>
      </w:r>
      <w:r w:rsidR="006C30FD">
        <w:rPr>
          <w:sz w:val="24"/>
          <w:szCs w:val="24"/>
        </w:rPr>
        <w:t>. I</w:t>
      </w:r>
      <w:r w:rsidR="007C4666">
        <w:rPr>
          <w:sz w:val="24"/>
          <w:szCs w:val="24"/>
        </w:rPr>
        <w:t xml:space="preserve">n an increasingly globalised world, </w:t>
      </w:r>
      <w:r w:rsidR="00E4502A">
        <w:rPr>
          <w:sz w:val="24"/>
          <w:szCs w:val="24"/>
        </w:rPr>
        <w:t xml:space="preserve">the extra-territorial impact of </w:t>
      </w:r>
      <w:r w:rsidR="007C4666">
        <w:rPr>
          <w:sz w:val="24"/>
          <w:szCs w:val="24"/>
        </w:rPr>
        <w:t>national</w:t>
      </w:r>
      <w:r w:rsidR="00E4502A">
        <w:rPr>
          <w:sz w:val="24"/>
          <w:szCs w:val="24"/>
        </w:rPr>
        <w:t xml:space="preserve"> and regional</w:t>
      </w:r>
      <w:r w:rsidR="007C4666">
        <w:rPr>
          <w:sz w:val="24"/>
          <w:szCs w:val="24"/>
        </w:rPr>
        <w:t xml:space="preserve"> </w:t>
      </w:r>
      <w:r w:rsidR="00E4502A">
        <w:rPr>
          <w:sz w:val="24"/>
          <w:szCs w:val="24"/>
        </w:rPr>
        <w:t xml:space="preserve">legal systems has unprecedented power and reach. On these grounds, the third chapter </w:t>
      </w:r>
      <w:r w:rsidR="00F9799C">
        <w:rPr>
          <w:sz w:val="24"/>
          <w:szCs w:val="24"/>
        </w:rPr>
        <w:t>has deconstructed</w:t>
      </w:r>
      <w:r w:rsidR="00E4502A">
        <w:rPr>
          <w:sz w:val="24"/>
          <w:szCs w:val="24"/>
        </w:rPr>
        <w:t xml:space="preserve"> the hegemonic narrative on GE organisms and risk governance </w:t>
      </w:r>
      <w:r w:rsidR="006A75FD" w:rsidRPr="00E4502A">
        <w:rPr>
          <w:i/>
          <w:iCs/>
          <w:sz w:val="24"/>
          <w:szCs w:val="24"/>
        </w:rPr>
        <w:t>from within</w:t>
      </w:r>
      <w:r w:rsidR="006A75FD">
        <w:rPr>
          <w:sz w:val="24"/>
          <w:szCs w:val="24"/>
        </w:rPr>
        <w:t xml:space="preserve"> the </w:t>
      </w:r>
      <w:r w:rsidR="00E4502A">
        <w:rPr>
          <w:sz w:val="24"/>
          <w:szCs w:val="24"/>
        </w:rPr>
        <w:t>US national legal system</w:t>
      </w:r>
      <w:r w:rsidR="00ED4BDC">
        <w:rPr>
          <w:sz w:val="24"/>
          <w:szCs w:val="24"/>
        </w:rPr>
        <w:t>.</w:t>
      </w:r>
    </w:p>
    <w:p w14:paraId="58D8C3E6" w14:textId="1CDF4B7A" w:rsidR="00781EF1" w:rsidRDefault="00E4502A" w:rsidP="00AF1832">
      <w:pPr>
        <w:spacing w:after="0" w:line="276" w:lineRule="auto"/>
        <w:ind w:firstLine="720"/>
        <w:jc w:val="both"/>
        <w:rPr>
          <w:sz w:val="24"/>
          <w:szCs w:val="24"/>
        </w:rPr>
      </w:pPr>
      <w:r>
        <w:rPr>
          <w:sz w:val="24"/>
          <w:szCs w:val="24"/>
        </w:rPr>
        <w:t xml:space="preserve">The fourth chapter </w:t>
      </w:r>
      <w:r w:rsidR="001F5773">
        <w:rPr>
          <w:sz w:val="24"/>
          <w:szCs w:val="24"/>
        </w:rPr>
        <w:t xml:space="preserve">has </w:t>
      </w:r>
      <w:r w:rsidR="00F9799C">
        <w:rPr>
          <w:sz w:val="24"/>
          <w:szCs w:val="24"/>
        </w:rPr>
        <w:t>turned</w:t>
      </w:r>
      <w:r>
        <w:rPr>
          <w:sz w:val="24"/>
          <w:szCs w:val="24"/>
        </w:rPr>
        <w:t xml:space="preserve"> to an analysis of EU law.</w:t>
      </w:r>
      <w:r w:rsidR="00A4098C">
        <w:rPr>
          <w:sz w:val="24"/>
          <w:szCs w:val="24"/>
        </w:rPr>
        <w:t xml:space="preserve"> This is located halfway through </w:t>
      </w:r>
      <w:r w:rsidR="00D63872">
        <w:rPr>
          <w:sz w:val="24"/>
          <w:szCs w:val="24"/>
        </w:rPr>
        <w:t xml:space="preserve">the dimensions of </w:t>
      </w:r>
      <w:r w:rsidR="00A4098C">
        <w:rPr>
          <w:sz w:val="24"/>
          <w:szCs w:val="24"/>
        </w:rPr>
        <w:t>extra-</w:t>
      </w:r>
      <w:r w:rsidR="00D63872">
        <w:rPr>
          <w:sz w:val="24"/>
          <w:szCs w:val="24"/>
        </w:rPr>
        <w:t>territoriality</w:t>
      </w:r>
      <w:r w:rsidR="00FD6798">
        <w:rPr>
          <w:sz w:val="24"/>
          <w:szCs w:val="24"/>
        </w:rPr>
        <w:t>, on the one hand,</w:t>
      </w:r>
      <w:r w:rsidR="00D63872">
        <w:rPr>
          <w:sz w:val="24"/>
          <w:szCs w:val="24"/>
        </w:rPr>
        <w:t xml:space="preserve"> and legal pluralisation</w:t>
      </w:r>
      <w:r w:rsidR="00FD6798">
        <w:rPr>
          <w:sz w:val="24"/>
          <w:szCs w:val="24"/>
        </w:rPr>
        <w:t>, on the other</w:t>
      </w:r>
      <w:r w:rsidR="006C30FD">
        <w:rPr>
          <w:sz w:val="24"/>
          <w:szCs w:val="24"/>
        </w:rPr>
        <w:t>. T</w:t>
      </w:r>
      <w:r w:rsidR="00E70371">
        <w:rPr>
          <w:sz w:val="24"/>
          <w:szCs w:val="24"/>
        </w:rPr>
        <w:t>hus, from a methodological perspective, EU law has</w:t>
      </w:r>
      <w:r w:rsidR="00FD6798">
        <w:rPr>
          <w:sz w:val="24"/>
          <w:szCs w:val="24"/>
        </w:rPr>
        <w:t xml:space="preserve"> </w:t>
      </w:r>
      <w:r w:rsidR="00C77746">
        <w:rPr>
          <w:sz w:val="24"/>
          <w:szCs w:val="24"/>
        </w:rPr>
        <w:t>twofold transnational relevance.</w:t>
      </w:r>
      <w:r w:rsidR="00E70371">
        <w:rPr>
          <w:sz w:val="24"/>
          <w:szCs w:val="24"/>
        </w:rPr>
        <w:t xml:space="preserve"> First, the EU legal system is the site where the </w:t>
      </w:r>
      <w:r w:rsidR="005D1CC9">
        <w:rPr>
          <w:sz w:val="24"/>
          <w:szCs w:val="24"/>
        </w:rPr>
        <w:t xml:space="preserve">transnational </w:t>
      </w:r>
      <w:r w:rsidR="00E70371">
        <w:rPr>
          <w:sz w:val="24"/>
          <w:szCs w:val="24"/>
        </w:rPr>
        <w:t xml:space="preserve">counter-hegemonic narrative on </w:t>
      </w:r>
      <w:r w:rsidR="005D1CC9">
        <w:rPr>
          <w:sz w:val="24"/>
          <w:szCs w:val="24"/>
        </w:rPr>
        <w:t xml:space="preserve">GE organisms has been constructed. For this reason, </w:t>
      </w:r>
      <w:r w:rsidR="00A51E76">
        <w:rPr>
          <w:sz w:val="24"/>
          <w:szCs w:val="24"/>
        </w:rPr>
        <w:t>EU governance of agricultural biotechnologies has had a</w:t>
      </w:r>
      <w:r w:rsidR="0090473D">
        <w:rPr>
          <w:sz w:val="24"/>
          <w:szCs w:val="24"/>
        </w:rPr>
        <w:t>n important</w:t>
      </w:r>
      <w:r w:rsidR="00A51E76">
        <w:rPr>
          <w:sz w:val="24"/>
          <w:szCs w:val="24"/>
        </w:rPr>
        <w:t xml:space="preserve"> transnational impact and </w:t>
      </w:r>
      <w:r w:rsidR="005D1CC9">
        <w:rPr>
          <w:sz w:val="24"/>
          <w:szCs w:val="24"/>
        </w:rPr>
        <w:t>EU regulatory categories have transnational relevance</w:t>
      </w:r>
      <w:r w:rsidR="00583C62">
        <w:rPr>
          <w:sz w:val="24"/>
          <w:szCs w:val="24"/>
        </w:rPr>
        <w:t xml:space="preserve">. </w:t>
      </w:r>
      <w:r w:rsidR="005D1CC9">
        <w:rPr>
          <w:sz w:val="24"/>
          <w:szCs w:val="24"/>
        </w:rPr>
        <w:t xml:space="preserve">Secondly, EU governance of GE organisms </w:t>
      </w:r>
      <w:r w:rsidR="00781EF1">
        <w:rPr>
          <w:sz w:val="24"/>
          <w:szCs w:val="24"/>
        </w:rPr>
        <w:t>impacts on EU Member States. T</w:t>
      </w:r>
      <w:r w:rsidR="005D1CC9">
        <w:rPr>
          <w:sz w:val="24"/>
          <w:szCs w:val="24"/>
        </w:rPr>
        <w:t xml:space="preserve">his adds a further layer of analysis, as the EU and </w:t>
      </w:r>
      <w:r w:rsidR="00781EF1">
        <w:rPr>
          <w:sz w:val="24"/>
          <w:szCs w:val="24"/>
        </w:rPr>
        <w:t xml:space="preserve">EU </w:t>
      </w:r>
      <w:r w:rsidR="005D1CC9">
        <w:rPr>
          <w:sz w:val="24"/>
          <w:szCs w:val="24"/>
        </w:rPr>
        <w:t>Member State</w:t>
      </w:r>
      <w:r w:rsidR="0090473D">
        <w:rPr>
          <w:sz w:val="24"/>
          <w:szCs w:val="24"/>
        </w:rPr>
        <w:t xml:space="preserve"> level</w:t>
      </w:r>
      <w:r w:rsidR="00781EF1">
        <w:rPr>
          <w:sz w:val="24"/>
          <w:szCs w:val="24"/>
        </w:rPr>
        <w:t xml:space="preserve"> have repeatedly clashed on regulatory implementation matters. </w:t>
      </w:r>
      <w:r w:rsidR="006C30FD">
        <w:rPr>
          <w:sz w:val="24"/>
          <w:szCs w:val="24"/>
        </w:rPr>
        <w:t>T</w:t>
      </w:r>
      <w:r w:rsidR="00781EF1">
        <w:rPr>
          <w:sz w:val="24"/>
          <w:szCs w:val="24"/>
        </w:rPr>
        <w:t xml:space="preserve">he fourth chapter </w:t>
      </w:r>
      <w:r w:rsidR="00F9799C">
        <w:rPr>
          <w:sz w:val="24"/>
          <w:szCs w:val="24"/>
        </w:rPr>
        <w:t>has</w:t>
      </w:r>
      <w:r w:rsidR="006C30FD">
        <w:rPr>
          <w:sz w:val="24"/>
          <w:szCs w:val="24"/>
        </w:rPr>
        <w:t xml:space="preserve"> thus</w:t>
      </w:r>
      <w:r w:rsidR="00F9799C">
        <w:rPr>
          <w:sz w:val="24"/>
          <w:szCs w:val="24"/>
        </w:rPr>
        <w:t xml:space="preserve"> deconstructed </w:t>
      </w:r>
      <w:r w:rsidR="00781EF1">
        <w:rPr>
          <w:sz w:val="24"/>
          <w:szCs w:val="24"/>
        </w:rPr>
        <w:t xml:space="preserve">the counter-hegemonic narrative on GE organisms and risk governance </w:t>
      </w:r>
      <w:r w:rsidR="00781EF1" w:rsidRPr="00E4502A">
        <w:rPr>
          <w:i/>
          <w:iCs/>
          <w:sz w:val="24"/>
          <w:szCs w:val="24"/>
        </w:rPr>
        <w:t>from within</w:t>
      </w:r>
      <w:r w:rsidR="00781EF1">
        <w:rPr>
          <w:sz w:val="24"/>
          <w:szCs w:val="24"/>
        </w:rPr>
        <w:t xml:space="preserve"> the EU regional legal system and </w:t>
      </w:r>
      <w:r w:rsidR="00781EF1" w:rsidRPr="00781EF1">
        <w:rPr>
          <w:i/>
          <w:iCs/>
          <w:sz w:val="24"/>
          <w:szCs w:val="24"/>
        </w:rPr>
        <w:t>across</w:t>
      </w:r>
      <w:r w:rsidR="00781EF1">
        <w:rPr>
          <w:sz w:val="24"/>
          <w:szCs w:val="24"/>
        </w:rPr>
        <w:t xml:space="preserve"> the nation state (</w:t>
      </w:r>
      <w:r w:rsidR="0090473D">
        <w:rPr>
          <w:sz w:val="24"/>
          <w:szCs w:val="24"/>
        </w:rPr>
        <w:t xml:space="preserve">i.e. </w:t>
      </w:r>
      <w:r w:rsidR="00781EF1">
        <w:rPr>
          <w:sz w:val="24"/>
          <w:szCs w:val="24"/>
        </w:rPr>
        <w:t xml:space="preserve">EU Member State) level. </w:t>
      </w:r>
    </w:p>
    <w:p w14:paraId="4E21C3EA" w14:textId="7C796741" w:rsidR="00F9799C" w:rsidRDefault="00781EF1" w:rsidP="00AF1832">
      <w:pPr>
        <w:spacing w:after="0" w:line="276" w:lineRule="auto"/>
        <w:ind w:firstLine="720"/>
        <w:jc w:val="both"/>
        <w:rPr>
          <w:sz w:val="24"/>
          <w:szCs w:val="24"/>
        </w:rPr>
      </w:pPr>
      <w:r>
        <w:rPr>
          <w:sz w:val="24"/>
          <w:szCs w:val="24"/>
        </w:rPr>
        <w:t xml:space="preserve">The fifth chapter </w:t>
      </w:r>
      <w:r w:rsidR="00F9799C">
        <w:rPr>
          <w:sz w:val="24"/>
          <w:szCs w:val="24"/>
        </w:rPr>
        <w:t>has focused</w:t>
      </w:r>
      <w:r>
        <w:rPr>
          <w:sz w:val="24"/>
          <w:szCs w:val="24"/>
        </w:rPr>
        <w:t xml:space="preserve"> on the </w:t>
      </w:r>
      <w:r w:rsidR="0095017E">
        <w:rPr>
          <w:sz w:val="24"/>
          <w:szCs w:val="24"/>
        </w:rPr>
        <w:t>SPS</w:t>
      </w:r>
      <w:r w:rsidR="00F9799C">
        <w:rPr>
          <w:sz w:val="24"/>
          <w:szCs w:val="24"/>
        </w:rPr>
        <w:t xml:space="preserve"> Agreement.</w:t>
      </w:r>
      <w:r w:rsidR="00A51E76">
        <w:rPr>
          <w:sz w:val="24"/>
          <w:szCs w:val="24"/>
        </w:rPr>
        <w:t xml:space="preserve"> The</w:t>
      </w:r>
      <w:r w:rsidR="00762FCE">
        <w:rPr>
          <w:sz w:val="24"/>
          <w:szCs w:val="24"/>
        </w:rPr>
        <w:t xml:space="preserve"> </w:t>
      </w:r>
      <w:r w:rsidR="00A51E76">
        <w:rPr>
          <w:sz w:val="24"/>
          <w:szCs w:val="24"/>
        </w:rPr>
        <w:t xml:space="preserve">interpretation and application of the Agreement provisions has had a significant impact on the </w:t>
      </w:r>
      <w:r w:rsidR="00583C62">
        <w:rPr>
          <w:sz w:val="24"/>
          <w:szCs w:val="24"/>
        </w:rPr>
        <w:t xml:space="preserve">transnational </w:t>
      </w:r>
      <w:r w:rsidR="00A51E76">
        <w:rPr>
          <w:sz w:val="24"/>
          <w:szCs w:val="24"/>
        </w:rPr>
        <w:t xml:space="preserve">debate on GE organisms, reinforcing the hegemonic </w:t>
      </w:r>
      <w:r w:rsidR="001F5773">
        <w:rPr>
          <w:sz w:val="24"/>
          <w:szCs w:val="24"/>
        </w:rPr>
        <w:t xml:space="preserve">narrative </w:t>
      </w:r>
      <w:r w:rsidR="00A51E76">
        <w:rPr>
          <w:sz w:val="24"/>
          <w:szCs w:val="24"/>
        </w:rPr>
        <w:t xml:space="preserve">on </w:t>
      </w:r>
      <w:r w:rsidR="007C5AF1">
        <w:rPr>
          <w:sz w:val="24"/>
          <w:szCs w:val="24"/>
        </w:rPr>
        <w:t xml:space="preserve">agricultural biotechnologies and </w:t>
      </w:r>
      <w:r w:rsidR="00A51E76">
        <w:rPr>
          <w:sz w:val="24"/>
          <w:szCs w:val="24"/>
        </w:rPr>
        <w:t>regulation</w:t>
      </w:r>
      <w:r w:rsidR="00583C62">
        <w:rPr>
          <w:sz w:val="24"/>
          <w:szCs w:val="24"/>
        </w:rPr>
        <w:t xml:space="preserve"> of uncertain risks</w:t>
      </w:r>
      <w:r w:rsidR="00A51E76">
        <w:rPr>
          <w:sz w:val="24"/>
          <w:szCs w:val="24"/>
        </w:rPr>
        <w:t xml:space="preserve">. </w:t>
      </w:r>
      <w:r w:rsidR="00583C62">
        <w:rPr>
          <w:sz w:val="24"/>
          <w:szCs w:val="24"/>
        </w:rPr>
        <w:t>On these grounds, the fifth chapter has examined the hegemonic narrative</w:t>
      </w:r>
      <w:r w:rsidR="0095017E">
        <w:rPr>
          <w:sz w:val="24"/>
          <w:szCs w:val="24"/>
        </w:rPr>
        <w:t xml:space="preserve"> through an analysis of the WTO law regime,</w:t>
      </w:r>
      <w:r w:rsidR="00583C62">
        <w:rPr>
          <w:sz w:val="24"/>
          <w:szCs w:val="24"/>
        </w:rPr>
        <w:t xml:space="preserve"> </w:t>
      </w:r>
      <w:r w:rsidR="00583C62" w:rsidRPr="0095017E">
        <w:rPr>
          <w:i/>
          <w:iCs/>
          <w:sz w:val="24"/>
          <w:szCs w:val="24"/>
        </w:rPr>
        <w:t>across</w:t>
      </w:r>
      <w:r w:rsidR="00583C62">
        <w:rPr>
          <w:sz w:val="24"/>
          <w:szCs w:val="24"/>
        </w:rPr>
        <w:t xml:space="preserve"> the nation state level</w:t>
      </w:r>
      <w:r w:rsidR="0095017E">
        <w:rPr>
          <w:sz w:val="24"/>
          <w:szCs w:val="24"/>
        </w:rPr>
        <w:t xml:space="preserve">. Finally, the sixth chapter has </w:t>
      </w:r>
      <w:r w:rsidR="008E1B88">
        <w:rPr>
          <w:sz w:val="24"/>
          <w:szCs w:val="24"/>
        </w:rPr>
        <w:t>turned to</w:t>
      </w:r>
      <w:r w:rsidR="0095017E">
        <w:rPr>
          <w:sz w:val="24"/>
          <w:szCs w:val="24"/>
        </w:rPr>
        <w:t xml:space="preserve"> the Codex system and hybrid regulatory standard-setting by no</w:t>
      </w:r>
      <w:r w:rsidR="00762FCE">
        <w:rPr>
          <w:sz w:val="24"/>
          <w:szCs w:val="24"/>
        </w:rPr>
        <w:t>n</w:t>
      </w:r>
      <w:r w:rsidR="0095017E">
        <w:rPr>
          <w:sz w:val="24"/>
          <w:szCs w:val="24"/>
        </w:rPr>
        <w:t xml:space="preserve">-profit NGO actors. Both sites of norm-making have transnational relevance. </w:t>
      </w:r>
      <w:r w:rsidR="0090473D">
        <w:rPr>
          <w:sz w:val="24"/>
          <w:szCs w:val="24"/>
        </w:rPr>
        <w:t xml:space="preserve">In </w:t>
      </w:r>
      <w:r w:rsidR="0095017E">
        <w:rPr>
          <w:sz w:val="24"/>
          <w:szCs w:val="24"/>
        </w:rPr>
        <w:t xml:space="preserve">its interconnections with the SPS Agreement, </w:t>
      </w:r>
      <w:r w:rsidR="0090473D">
        <w:rPr>
          <w:sz w:val="24"/>
          <w:szCs w:val="24"/>
        </w:rPr>
        <w:t xml:space="preserve">the Codex system has considerably strengthened transnational evidence-based discourses on risk governance and agricultural biotechnologies. By contrast, </w:t>
      </w:r>
      <w:r w:rsidR="0090473D">
        <w:rPr>
          <w:sz w:val="24"/>
          <w:szCs w:val="24"/>
        </w:rPr>
        <w:lastRenderedPageBreak/>
        <w:t>NGO actors have directly challenged the hegemonic narrative on GE organisms and defended counter-hegemonic discourses.</w:t>
      </w:r>
      <w:r w:rsidR="006C5D62">
        <w:rPr>
          <w:sz w:val="24"/>
          <w:szCs w:val="24"/>
        </w:rPr>
        <w:t xml:space="preserve"> The sixth chapter has</w:t>
      </w:r>
      <w:r w:rsidR="008E1B88">
        <w:rPr>
          <w:sz w:val="24"/>
          <w:szCs w:val="24"/>
        </w:rPr>
        <w:t xml:space="preserve"> thus</w:t>
      </w:r>
      <w:r w:rsidR="006C5D62">
        <w:rPr>
          <w:sz w:val="24"/>
          <w:szCs w:val="24"/>
        </w:rPr>
        <w:t xml:space="preserve"> engaged in a further deconstruction of the </w:t>
      </w:r>
      <w:r w:rsidR="008E1B88">
        <w:rPr>
          <w:sz w:val="24"/>
          <w:szCs w:val="24"/>
        </w:rPr>
        <w:t xml:space="preserve">hegemonic and counter-hegemonic narratives, </w:t>
      </w:r>
      <w:r w:rsidR="008E1B88" w:rsidRPr="008E1B88">
        <w:rPr>
          <w:i/>
          <w:iCs/>
          <w:sz w:val="24"/>
          <w:szCs w:val="24"/>
        </w:rPr>
        <w:t>beyond</w:t>
      </w:r>
      <w:r w:rsidR="008E1B88">
        <w:rPr>
          <w:sz w:val="24"/>
          <w:szCs w:val="24"/>
        </w:rPr>
        <w:t xml:space="preserve"> the nation state level.</w:t>
      </w:r>
    </w:p>
    <w:p w14:paraId="3E570EEE" w14:textId="5AFF5204" w:rsidR="00E20702" w:rsidRDefault="008E1B88" w:rsidP="00AF1832">
      <w:pPr>
        <w:spacing w:after="0" w:line="276" w:lineRule="auto"/>
        <w:ind w:firstLine="720"/>
        <w:jc w:val="both"/>
        <w:rPr>
          <w:sz w:val="24"/>
          <w:szCs w:val="24"/>
        </w:rPr>
      </w:pPr>
      <w:r>
        <w:rPr>
          <w:sz w:val="24"/>
          <w:szCs w:val="24"/>
        </w:rPr>
        <w:t xml:space="preserve">The </w:t>
      </w:r>
      <w:r w:rsidR="00EE2F15">
        <w:rPr>
          <w:sz w:val="24"/>
          <w:szCs w:val="24"/>
        </w:rPr>
        <w:t>final</w:t>
      </w:r>
      <w:r>
        <w:rPr>
          <w:sz w:val="24"/>
          <w:szCs w:val="24"/>
        </w:rPr>
        <w:t xml:space="preserve"> questions addressed in each chapter bring us to the institutional </w:t>
      </w:r>
      <w:r w:rsidR="00EE2F15">
        <w:rPr>
          <w:sz w:val="24"/>
          <w:szCs w:val="24"/>
        </w:rPr>
        <w:t>enquiry</w:t>
      </w:r>
      <w:r>
        <w:rPr>
          <w:sz w:val="24"/>
          <w:szCs w:val="24"/>
        </w:rPr>
        <w:t xml:space="preserve"> of the book. </w:t>
      </w:r>
      <w:r w:rsidR="00EE2F15" w:rsidRPr="006C30FD">
        <w:rPr>
          <w:sz w:val="24"/>
          <w:szCs w:val="24"/>
        </w:rPr>
        <w:t xml:space="preserve">What has the </w:t>
      </w:r>
      <w:r w:rsidR="00C83101" w:rsidRPr="006C30FD">
        <w:rPr>
          <w:sz w:val="24"/>
          <w:szCs w:val="24"/>
        </w:rPr>
        <w:t>examination</w:t>
      </w:r>
      <w:r w:rsidR="00EE2F15" w:rsidRPr="006C30FD">
        <w:rPr>
          <w:sz w:val="24"/>
          <w:szCs w:val="24"/>
        </w:rPr>
        <w:t xml:space="preserve"> of these transnationally relevant legal systems uncovered</w:t>
      </w:r>
      <w:r w:rsidR="00C83101" w:rsidRPr="006C30FD">
        <w:rPr>
          <w:sz w:val="24"/>
          <w:szCs w:val="24"/>
        </w:rPr>
        <w:t xml:space="preserve">, and how has it helped deconstruct the </w:t>
      </w:r>
      <w:r w:rsidR="00EE2F15" w:rsidRPr="006C30FD">
        <w:rPr>
          <w:sz w:val="24"/>
          <w:szCs w:val="24"/>
        </w:rPr>
        <w:t xml:space="preserve">hegemonic and counter-hegemonic narratives on GE organisms? </w:t>
      </w:r>
      <w:r w:rsidR="00C83101" w:rsidRPr="006C30FD">
        <w:rPr>
          <w:sz w:val="24"/>
          <w:szCs w:val="24"/>
        </w:rPr>
        <w:t>In other words, h</w:t>
      </w:r>
      <w:r w:rsidR="00EE2F15" w:rsidRPr="006C30FD">
        <w:rPr>
          <w:sz w:val="24"/>
          <w:szCs w:val="24"/>
        </w:rPr>
        <w:t>ow</w:t>
      </w:r>
      <w:r w:rsidR="00EE2F15">
        <w:rPr>
          <w:sz w:val="24"/>
          <w:szCs w:val="24"/>
        </w:rPr>
        <w:t xml:space="preserve"> has the analysis of these legal regimes </w:t>
      </w:r>
      <w:r w:rsidR="00D84900">
        <w:rPr>
          <w:sz w:val="24"/>
          <w:szCs w:val="24"/>
        </w:rPr>
        <w:t>shed light on</w:t>
      </w:r>
      <w:r w:rsidR="00EE2F15">
        <w:rPr>
          <w:sz w:val="24"/>
          <w:szCs w:val="24"/>
        </w:rPr>
        <w:t xml:space="preserve"> the rationale</w:t>
      </w:r>
      <w:r w:rsidR="001F5773">
        <w:rPr>
          <w:sz w:val="24"/>
          <w:szCs w:val="24"/>
        </w:rPr>
        <w:t>s</w:t>
      </w:r>
      <w:r w:rsidR="00EE2F15">
        <w:rPr>
          <w:sz w:val="24"/>
          <w:szCs w:val="24"/>
        </w:rPr>
        <w:t xml:space="preserve">, underlying value systems, goals and implications of the two </w:t>
      </w:r>
      <w:r w:rsidR="00C83101">
        <w:rPr>
          <w:sz w:val="24"/>
          <w:szCs w:val="24"/>
        </w:rPr>
        <w:t xml:space="preserve">transnational </w:t>
      </w:r>
      <w:r w:rsidR="00D84900">
        <w:rPr>
          <w:sz w:val="24"/>
          <w:szCs w:val="24"/>
        </w:rPr>
        <w:t>narratives</w:t>
      </w:r>
      <w:r w:rsidR="00EE2F15">
        <w:rPr>
          <w:sz w:val="24"/>
          <w:szCs w:val="24"/>
        </w:rPr>
        <w:t xml:space="preserve">? </w:t>
      </w:r>
      <w:r w:rsidR="00C83101">
        <w:rPr>
          <w:sz w:val="24"/>
          <w:szCs w:val="24"/>
        </w:rPr>
        <w:t xml:space="preserve">This third question is connected to and partially overlaps with the fourth question: </w:t>
      </w:r>
      <w:r w:rsidR="00D84900" w:rsidRPr="006C30FD">
        <w:rPr>
          <w:sz w:val="24"/>
          <w:szCs w:val="24"/>
        </w:rPr>
        <w:t>how</w:t>
      </w:r>
      <w:r w:rsidR="00D84900">
        <w:rPr>
          <w:sz w:val="24"/>
          <w:szCs w:val="24"/>
        </w:rPr>
        <w:t xml:space="preserve"> has the analysis of these legal regimes </w:t>
      </w:r>
      <w:r w:rsidR="00E20702">
        <w:rPr>
          <w:sz w:val="24"/>
          <w:szCs w:val="24"/>
        </w:rPr>
        <w:t>helped deconstruct transnational discourses on evidence-based and socially acceptable risk approaches to risk governance? Indeed, as explained since the introductory chapter, the hegemonic and counter-hegemonic narratives on GE organisms are informed by broader transnational discourses on the regulation of uncertain risks.</w:t>
      </w:r>
      <w:r w:rsidR="00591156">
        <w:rPr>
          <w:sz w:val="24"/>
          <w:szCs w:val="24"/>
        </w:rPr>
        <w:t xml:space="preserve"> The answer to these questions paves the way for an analysis of the institutional findings of the book. This is what the next section turns to. </w:t>
      </w:r>
    </w:p>
    <w:p w14:paraId="585F54E3" w14:textId="77777777" w:rsidR="00E20702" w:rsidRDefault="00E20702" w:rsidP="00781EF1">
      <w:pPr>
        <w:spacing w:after="0" w:line="276" w:lineRule="auto"/>
        <w:jc w:val="both"/>
        <w:rPr>
          <w:sz w:val="24"/>
          <w:szCs w:val="24"/>
        </w:rPr>
      </w:pPr>
    </w:p>
    <w:p w14:paraId="21EBC33F" w14:textId="0EE03193" w:rsidR="00781EF1" w:rsidRDefault="00781EF1" w:rsidP="00663AA0">
      <w:pPr>
        <w:spacing w:after="0" w:line="276" w:lineRule="auto"/>
        <w:jc w:val="both"/>
        <w:rPr>
          <w:sz w:val="24"/>
          <w:szCs w:val="24"/>
        </w:rPr>
      </w:pPr>
    </w:p>
    <w:p w14:paraId="4E99A550" w14:textId="7E24D20D" w:rsidR="005337D9" w:rsidRDefault="005337D9" w:rsidP="005337D9">
      <w:pPr>
        <w:pStyle w:val="Paragrafoelenco"/>
        <w:numPr>
          <w:ilvl w:val="0"/>
          <w:numId w:val="1"/>
        </w:numPr>
        <w:spacing w:after="0" w:line="276" w:lineRule="auto"/>
        <w:jc w:val="center"/>
        <w:rPr>
          <w:rFonts w:cs="Times New Roman"/>
          <w:sz w:val="28"/>
          <w:szCs w:val="28"/>
        </w:rPr>
      </w:pPr>
      <w:r>
        <w:rPr>
          <w:rFonts w:cs="Times New Roman"/>
          <w:sz w:val="28"/>
          <w:szCs w:val="28"/>
        </w:rPr>
        <w:t xml:space="preserve">Institutional Analysis: The Social and Political Construction of Transnational Narratives on GE Organisms and Risk Governance </w:t>
      </w:r>
    </w:p>
    <w:p w14:paraId="4366F72A" w14:textId="348DB806" w:rsidR="002A17CB" w:rsidRDefault="002A17CB" w:rsidP="00663AA0">
      <w:pPr>
        <w:spacing w:after="0" w:line="276" w:lineRule="auto"/>
        <w:jc w:val="both"/>
        <w:rPr>
          <w:sz w:val="24"/>
          <w:szCs w:val="24"/>
        </w:rPr>
      </w:pPr>
    </w:p>
    <w:p w14:paraId="1B47FCEC" w14:textId="7A55AD09" w:rsidR="00AF1832" w:rsidRDefault="005337D9" w:rsidP="00663AA0">
      <w:pPr>
        <w:spacing w:after="0" w:line="276" w:lineRule="auto"/>
        <w:jc w:val="both"/>
        <w:rPr>
          <w:sz w:val="24"/>
          <w:szCs w:val="24"/>
        </w:rPr>
      </w:pPr>
      <w:r>
        <w:rPr>
          <w:sz w:val="24"/>
          <w:szCs w:val="24"/>
        </w:rPr>
        <w:t>In times of COVID-19 pandemic, many points raised in this book have emerged with unprecedented clarity and have found</w:t>
      </w:r>
      <w:r w:rsidR="008C3F9C">
        <w:rPr>
          <w:sz w:val="24"/>
          <w:szCs w:val="24"/>
        </w:rPr>
        <w:t xml:space="preserve"> some</w:t>
      </w:r>
      <w:r>
        <w:rPr>
          <w:sz w:val="24"/>
          <w:szCs w:val="24"/>
        </w:rPr>
        <w:t xml:space="preserve"> empirical confirmation</w:t>
      </w:r>
      <w:r w:rsidR="00A14DF7">
        <w:rPr>
          <w:sz w:val="24"/>
          <w:szCs w:val="24"/>
        </w:rPr>
        <w:t xml:space="preserve"> in everyday life</w:t>
      </w:r>
      <w:r>
        <w:rPr>
          <w:sz w:val="24"/>
          <w:szCs w:val="24"/>
        </w:rPr>
        <w:t xml:space="preserve">. </w:t>
      </w:r>
      <w:r w:rsidRPr="006C30FD">
        <w:rPr>
          <w:sz w:val="24"/>
          <w:szCs w:val="24"/>
        </w:rPr>
        <w:t xml:space="preserve">Scientific </w:t>
      </w:r>
      <w:r w:rsidR="00A4668D" w:rsidRPr="006C30FD">
        <w:rPr>
          <w:sz w:val="24"/>
          <w:szCs w:val="24"/>
        </w:rPr>
        <w:t xml:space="preserve">ignorance, scientific </w:t>
      </w:r>
      <w:r w:rsidRPr="006C30FD">
        <w:rPr>
          <w:sz w:val="24"/>
          <w:szCs w:val="24"/>
        </w:rPr>
        <w:t xml:space="preserve">uncertainty and the </w:t>
      </w:r>
      <w:r w:rsidR="00A4668D" w:rsidRPr="006C30FD">
        <w:rPr>
          <w:sz w:val="24"/>
          <w:szCs w:val="24"/>
        </w:rPr>
        <w:t xml:space="preserve">evolutionary </w:t>
      </w:r>
      <w:r w:rsidR="00A4668D">
        <w:rPr>
          <w:sz w:val="24"/>
          <w:szCs w:val="24"/>
        </w:rPr>
        <w:t xml:space="preserve">nature of scientific knowledge and research </w:t>
      </w:r>
      <w:r>
        <w:rPr>
          <w:sz w:val="24"/>
          <w:szCs w:val="24"/>
        </w:rPr>
        <w:t xml:space="preserve">have come under the spotlight, beyond the </w:t>
      </w:r>
      <w:r w:rsidR="00A4668D">
        <w:rPr>
          <w:sz w:val="24"/>
          <w:szCs w:val="24"/>
        </w:rPr>
        <w:t xml:space="preserve">modernist </w:t>
      </w:r>
      <w:r>
        <w:rPr>
          <w:sz w:val="24"/>
          <w:szCs w:val="24"/>
        </w:rPr>
        <w:t xml:space="preserve">assumption that science can provide </w:t>
      </w:r>
      <w:r w:rsidR="00A4668D">
        <w:rPr>
          <w:sz w:val="24"/>
          <w:szCs w:val="24"/>
        </w:rPr>
        <w:t>“</w:t>
      </w:r>
      <w:r>
        <w:rPr>
          <w:sz w:val="24"/>
          <w:szCs w:val="24"/>
        </w:rPr>
        <w:t>sound</w:t>
      </w:r>
      <w:r w:rsidR="00A4668D">
        <w:rPr>
          <w:sz w:val="24"/>
          <w:szCs w:val="24"/>
        </w:rPr>
        <w:t xml:space="preserve">”, </w:t>
      </w:r>
      <w:r w:rsidR="00A14DF7">
        <w:rPr>
          <w:sz w:val="24"/>
          <w:szCs w:val="24"/>
        </w:rPr>
        <w:t>correct</w:t>
      </w:r>
      <w:r w:rsidR="00A4668D">
        <w:rPr>
          <w:sz w:val="24"/>
          <w:szCs w:val="24"/>
        </w:rPr>
        <w:t xml:space="preserve"> and universally valid</w:t>
      </w:r>
      <w:r w:rsidR="00A14DF7">
        <w:rPr>
          <w:sz w:val="24"/>
          <w:szCs w:val="24"/>
        </w:rPr>
        <w:t xml:space="preserve"> responses.</w:t>
      </w:r>
      <w:r w:rsidR="00A4668D">
        <w:rPr>
          <w:sz w:val="24"/>
          <w:szCs w:val="24"/>
        </w:rPr>
        <w:t xml:space="preserve"> </w:t>
      </w:r>
      <w:r w:rsidR="004D5B3B">
        <w:rPr>
          <w:sz w:val="24"/>
          <w:szCs w:val="24"/>
        </w:rPr>
        <w:t>Science has a crucial role to play</w:t>
      </w:r>
      <w:r w:rsidR="00DC4DCF">
        <w:rPr>
          <w:sz w:val="24"/>
          <w:szCs w:val="24"/>
        </w:rPr>
        <w:t xml:space="preserve"> in the governance of uncertain risks</w:t>
      </w:r>
      <w:r w:rsidR="004D5B3B">
        <w:rPr>
          <w:sz w:val="24"/>
          <w:szCs w:val="24"/>
        </w:rPr>
        <w:t xml:space="preserve">; </w:t>
      </w:r>
      <w:r w:rsidR="008A4BAB">
        <w:rPr>
          <w:sz w:val="24"/>
          <w:szCs w:val="24"/>
        </w:rPr>
        <w:t>however</w:t>
      </w:r>
      <w:r w:rsidR="004D5B3B">
        <w:rPr>
          <w:sz w:val="24"/>
          <w:szCs w:val="24"/>
        </w:rPr>
        <w:t xml:space="preserve">, it is no silver bullet. </w:t>
      </w:r>
      <w:r w:rsidR="00F80AA3">
        <w:rPr>
          <w:sz w:val="24"/>
          <w:szCs w:val="24"/>
        </w:rPr>
        <w:t xml:space="preserve">Its limits and inherent fragility </w:t>
      </w:r>
      <w:r w:rsidR="0033553B">
        <w:rPr>
          <w:sz w:val="24"/>
          <w:szCs w:val="24"/>
        </w:rPr>
        <w:t xml:space="preserve">are nowadays clearer than ever. </w:t>
      </w:r>
      <w:r w:rsidR="00A4668D">
        <w:rPr>
          <w:sz w:val="24"/>
          <w:szCs w:val="24"/>
        </w:rPr>
        <w:t xml:space="preserve">The </w:t>
      </w:r>
      <w:r w:rsidR="00BD25D1">
        <w:rPr>
          <w:sz w:val="24"/>
          <w:szCs w:val="24"/>
        </w:rPr>
        <w:t>existence and relevance</w:t>
      </w:r>
      <w:r w:rsidR="00A4668D">
        <w:rPr>
          <w:sz w:val="24"/>
          <w:szCs w:val="24"/>
        </w:rPr>
        <w:t xml:space="preserve"> of </w:t>
      </w:r>
      <w:r w:rsidR="00A4668D" w:rsidRPr="006C30FD">
        <w:rPr>
          <w:sz w:val="24"/>
          <w:szCs w:val="24"/>
        </w:rPr>
        <w:t>scientific pluralism</w:t>
      </w:r>
      <w:r w:rsidR="00BD25D1">
        <w:rPr>
          <w:sz w:val="24"/>
          <w:szCs w:val="24"/>
        </w:rPr>
        <w:t xml:space="preserve"> is also, nowadays, clearer than ever. </w:t>
      </w:r>
      <w:r w:rsidR="004D5B3B">
        <w:rPr>
          <w:sz w:val="24"/>
          <w:szCs w:val="24"/>
        </w:rPr>
        <w:t>W</w:t>
      </w:r>
      <w:r w:rsidR="00A4668D">
        <w:rPr>
          <w:sz w:val="24"/>
          <w:szCs w:val="24"/>
        </w:rPr>
        <w:t>hile any national regulatory response</w:t>
      </w:r>
      <w:r w:rsidR="00BD25D1">
        <w:rPr>
          <w:sz w:val="24"/>
          <w:szCs w:val="24"/>
        </w:rPr>
        <w:t xml:space="preserve"> to</w:t>
      </w:r>
      <w:r w:rsidR="00A4668D">
        <w:rPr>
          <w:sz w:val="24"/>
          <w:szCs w:val="24"/>
        </w:rPr>
        <w:t xml:space="preserve"> </w:t>
      </w:r>
      <w:r w:rsidR="00BD25D1">
        <w:rPr>
          <w:sz w:val="24"/>
          <w:szCs w:val="24"/>
        </w:rPr>
        <w:t xml:space="preserve">COVID-19 </w:t>
      </w:r>
      <w:r w:rsidR="00A4668D">
        <w:rPr>
          <w:sz w:val="24"/>
          <w:szCs w:val="24"/>
        </w:rPr>
        <w:t>claims to be informed by science, scientific data</w:t>
      </w:r>
      <w:r w:rsidR="004D5B3B">
        <w:rPr>
          <w:sz w:val="24"/>
          <w:szCs w:val="24"/>
        </w:rPr>
        <w:t xml:space="preserve"> and</w:t>
      </w:r>
      <w:r w:rsidR="00A4668D">
        <w:rPr>
          <w:sz w:val="24"/>
          <w:szCs w:val="24"/>
        </w:rPr>
        <w:t xml:space="preserve"> </w:t>
      </w:r>
      <w:r w:rsidR="004D5B3B">
        <w:rPr>
          <w:sz w:val="24"/>
          <w:szCs w:val="24"/>
        </w:rPr>
        <w:t xml:space="preserve">scientific </w:t>
      </w:r>
      <w:r w:rsidR="00A4668D">
        <w:rPr>
          <w:sz w:val="24"/>
          <w:szCs w:val="24"/>
        </w:rPr>
        <w:t>models</w:t>
      </w:r>
      <w:r w:rsidR="004D5B3B">
        <w:rPr>
          <w:sz w:val="24"/>
          <w:szCs w:val="24"/>
        </w:rPr>
        <w:t xml:space="preserve"> </w:t>
      </w:r>
      <w:r w:rsidR="004A4DA6">
        <w:rPr>
          <w:sz w:val="24"/>
          <w:szCs w:val="24"/>
        </w:rPr>
        <w:t>diverge considerably</w:t>
      </w:r>
      <w:r w:rsidR="00DC4DCF">
        <w:rPr>
          <w:sz w:val="24"/>
          <w:szCs w:val="24"/>
        </w:rPr>
        <w:t>. T</w:t>
      </w:r>
      <w:r w:rsidR="004D5B3B">
        <w:rPr>
          <w:sz w:val="24"/>
          <w:szCs w:val="24"/>
        </w:rPr>
        <w:t>hi</w:t>
      </w:r>
      <w:r w:rsidR="00BD25D1">
        <w:rPr>
          <w:sz w:val="24"/>
          <w:szCs w:val="24"/>
        </w:rPr>
        <w:t>s</w:t>
      </w:r>
      <w:r w:rsidR="004D5B3B">
        <w:rPr>
          <w:sz w:val="24"/>
          <w:szCs w:val="24"/>
        </w:rPr>
        <w:t xml:space="preserve"> results in (very) different regulatory outputs. </w:t>
      </w:r>
    </w:p>
    <w:p w14:paraId="6DAC4A30" w14:textId="49AC8591" w:rsidR="008A4BAB" w:rsidRPr="006C2109" w:rsidRDefault="008A4BAB" w:rsidP="008A4BAB">
      <w:pPr>
        <w:spacing w:after="0" w:line="276" w:lineRule="auto"/>
        <w:ind w:firstLine="720"/>
        <w:jc w:val="both"/>
        <w:rPr>
          <w:sz w:val="24"/>
          <w:szCs w:val="24"/>
        </w:rPr>
      </w:pPr>
      <w:r>
        <w:rPr>
          <w:rFonts w:cs="Times New Roman"/>
          <w:sz w:val="24"/>
          <w:szCs w:val="24"/>
        </w:rPr>
        <w:t>T</w:t>
      </w:r>
      <w:r w:rsidRPr="006C2109">
        <w:rPr>
          <w:rFonts w:cs="Times New Roman"/>
          <w:sz w:val="24"/>
          <w:szCs w:val="24"/>
        </w:rPr>
        <w:t>he inferences that regulators draw from the available evidence are</w:t>
      </w:r>
      <w:r>
        <w:rPr>
          <w:rFonts w:cs="Times New Roman"/>
          <w:sz w:val="24"/>
          <w:szCs w:val="24"/>
        </w:rPr>
        <w:t xml:space="preserve"> also</w:t>
      </w:r>
      <w:r w:rsidRPr="006C2109">
        <w:rPr>
          <w:rFonts w:cs="Times New Roman"/>
          <w:sz w:val="24"/>
          <w:szCs w:val="24"/>
        </w:rPr>
        <w:t xml:space="preserve"> bound to vary. </w:t>
      </w:r>
      <w:r>
        <w:rPr>
          <w:rFonts w:cs="Times New Roman"/>
          <w:sz w:val="24"/>
          <w:szCs w:val="24"/>
        </w:rPr>
        <w:t>Variation in t</w:t>
      </w:r>
      <w:r w:rsidRPr="006C2109">
        <w:rPr>
          <w:sz w:val="24"/>
          <w:szCs w:val="24"/>
        </w:rPr>
        <w:t>he extent to which regulators take persisting uncertainty into consideration</w:t>
      </w:r>
      <w:r w:rsidRPr="006C2109">
        <w:rPr>
          <w:rFonts w:cs="Times New Roman"/>
          <w:sz w:val="24"/>
          <w:szCs w:val="24"/>
        </w:rPr>
        <w:t xml:space="preserve"> reflects different value judgments and normative frames. The pandemic has reminded us that, in contexts of scientific complexity, science cannot </w:t>
      </w:r>
      <w:r w:rsidR="00B32F66">
        <w:rPr>
          <w:rFonts w:cs="Times New Roman"/>
          <w:sz w:val="24"/>
          <w:szCs w:val="24"/>
        </w:rPr>
        <w:t xml:space="preserve">always </w:t>
      </w:r>
      <w:r w:rsidRPr="006C2109">
        <w:rPr>
          <w:rFonts w:cs="Times New Roman"/>
          <w:sz w:val="24"/>
          <w:szCs w:val="24"/>
        </w:rPr>
        <w:t xml:space="preserve">provide a </w:t>
      </w:r>
      <w:r>
        <w:rPr>
          <w:rFonts w:cs="Times New Roman"/>
          <w:sz w:val="24"/>
          <w:szCs w:val="24"/>
        </w:rPr>
        <w:t>“</w:t>
      </w:r>
      <w:r w:rsidRPr="006C2109">
        <w:rPr>
          <w:rFonts w:cs="Times New Roman"/>
          <w:sz w:val="24"/>
          <w:szCs w:val="24"/>
        </w:rPr>
        <w:t>correct</w:t>
      </w:r>
      <w:r>
        <w:rPr>
          <w:rFonts w:cs="Times New Roman"/>
          <w:sz w:val="24"/>
          <w:szCs w:val="24"/>
        </w:rPr>
        <w:t>”</w:t>
      </w:r>
      <w:r w:rsidRPr="006C2109">
        <w:rPr>
          <w:rFonts w:cs="Times New Roman"/>
          <w:sz w:val="24"/>
          <w:szCs w:val="24"/>
        </w:rPr>
        <w:t xml:space="preserve"> answer</w:t>
      </w:r>
      <w:r w:rsidR="00B32F66">
        <w:rPr>
          <w:rFonts w:cs="Times New Roman"/>
          <w:sz w:val="24"/>
          <w:szCs w:val="24"/>
        </w:rPr>
        <w:t>. N</w:t>
      </w:r>
      <w:r w:rsidRPr="006C2109">
        <w:rPr>
          <w:rFonts w:cs="Times New Roman"/>
          <w:sz w:val="24"/>
          <w:szCs w:val="24"/>
        </w:rPr>
        <w:t>or can we always assume that scientific evidence is sufficient for</w:t>
      </w:r>
      <w:r>
        <w:rPr>
          <w:rFonts w:cs="Times New Roman"/>
          <w:sz w:val="24"/>
          <w:szCs w:val="24"/>
        </w:rPr>
        <w:t xml:space="preserve"> producing</w:t>
      </w:r>
      <w:r w:rsidRPr="006C2109">
        <w:rPr>
          <w:rFonts w:cs="Times New Roman"/>
          <w:sz w:val="24"/>
          <w:szCs w:val="24"/>
        </w:rPr>
        <w:t xml:space="preserve"> an adequate characterisation of uncertain risks. </w:t>
      </w:r>
    </w:p>
    <w:p w14:paraId="44E907B2" w14:textId="1D9D288D" w:rsidR="008A4BAB" w:rsidRDefault="008A4BAB" w:rsidP="00B32F66">
      <w:pPr>
        <w:spacing w:after="0" w:line="276" w:lineRule="auto"/>
        <w:ind w:firstLine="720"/>
        <w:jc w:val="both"/>
        <w:rPr>
          <w:sz w:val="24"/>
          <w:szCs w:val="24"/>
        </w:rPr>
      </w:pPr>
      <w:r w:rsidRPr="006C2109">
        <w:rPr>
          <w:rFonts w:cs="Times New Roman"/>
          <w:sz w:val="24"/>
          <w:szCs w:val="24"/>
        </w:rPr>
        <w:t xml:space="preserve">Finally, COVID-19 has painfully shown that </w:t>
      </w:r>
      <w:r w:rsidRPr="006C2109">
        <w:rPr>
          <w:sz w:val="24"/>
          <w:szCs w:val="24"/>
        </w:rPr>
        <w:t xml:space="preserve">different regulatory responses are a </w:t>
      </w:r>
      <w:r>
        <w:rPr>
          <w:sz w:val="24"/>
          <w:szCs w:val="24"/>
        </w:rPr>
        <w:t>consequence</w:t>
      </w:r>
      <w:r w:rsidRPr="006C2109">
        <w:rPr>
          <w:sz w:val="24"/>
          <w:szCs w:val="24"/>
        </w:rPr>
        <w:t xml:space="preserve"> of the delicate balance between public health (or environmental) stakes and economic interests</w:t>
      </w:r>
      <w:r>
        <w:rPr>
          <w:sz w:val="24"/>
          <w:szCs w:val="24"/>
        </w:rPr>
        <w:t>.</w:t>
      </w:r>
      <w:r w:rsidRPr="006C2109">
        <w:rPr>
          <w:sz w:val="24"/>
          <w:szCs w:val="24"/>
        </w:rPr>
        <w:t xml:space="preserve"> </w:t>
      </w:r>
      <w:r>
        <w:rPr>
          <w:sz w:val="24"/>
          <w:szCs w:val="24"/>
        </w:rPr>
        <w:t>T</w:t>
      </w:r>
      <w:r w:rsidRPr="006C2109">
        <w:rPr>
          <w:sz w:val="24"/>
          <w:szCs w:val="24"/>
        </w:rPr>
        <w:t xml:space="preserve">he intended level of protection pursued in a jurisdiction reflects the specific balance that regulators have struck between the two. </w:t>
      </w:r>
      <w:r>
        <w:rPr>
          <w:sz w:val="24"/>
          <w:szCs w:val="24"/>
        </w:rPr>
        <w:t>OLFs</w:t>
      </w:r>
      <w:r w:rsidRPr="006C2109">
        <w:rPr>
          <w:sz w:val="24"/>
          <w:szCs w:val="24"/>
        </w:rPr>
        <w:t xml:space="preserve">, including the impact of different regulatory options on vulnerable constituencies, are also part of </w:t>
      </w:r>
      <w:r>
        <w:rPr>
          <w:sz w:val="24"/>
          <w:szCs w:val="24"/>
        </w:rPr>
        <w:t>the</w:t>
      </w:r>
      <w:r w:rsidRPr="006C2109">
        <w:rPr>
          <w:sz w:val="24"/>
          <w:szCs w:val="24"/>
        </w:rPr>
        <w:t xml:space="preserve"> picture.</w:t>
      </w:r>
      <w:r>
        <w:rPr>
          <w:sz w:val="24"/>
          <w:szCs w:val="24"/>
        </w:rPr>
        <w:t xml:space="preserve"> And indeed, as</w:t>
      </w:r>
      <w:r w:rsidR="00E90D4B">
        <w:rPr>
          <w:sz w:val="24"/>
          <w:szCs w:val="24"/>
        </w:rPr>
        <w:t xml:space="preserve"> the success of</w:t>
      </w:r>
      <w:r>
        <w:rPr>
          <w:sz w:val="24"/>
          <w:szCs w:val="24"/>
        </w:rPr>
        <w:t xml:space="preserve"> </w:t>
      </w:r>
      <w:r w:rsidR="00492787">
        <w:rPr>
          <w:sz w:val="24"/>
          <w:szCs w:val="24"/>
        </w:rPr>
        <w:t xml:space="preserve">the </w:t>
      </w:r>
      <w:r w:rsidR="00E90D4B">
        <w:rPr>
          <w:sz w:val="24"/>
          <w:szCs w:val="24"/>
        </w:rPr>
        <w:t>COVID</w:t>
      </w:r>
      <w:r w:rsidR="00FD6A6D">
        <w:rPr>
          <w:sz w:val="24"/>
          <w:szCs w:val="24"/>
        </w:rPr>
        <w:t>-19</w:t>
      </w:r>
      <w:r w:rsidR="00E90D4B">
        <w:rPr>
          <w:sz w:val="24"/>
          <w:szCs w:val="24"/>
        </w:rPr>
        <w:t xml:space="preserve"> vaccination campaigns has shown, the d</w:t>
      </w:r>
      <w:r>
        <w:rPr>
          <w:sz w:val="24"/>
          <w:szCs w:val="24"/>
        </w:rPr>
        <w:t xml:space="preserve">ecision </w:t>
      </w:r>
      <w:r w:rsidR="00E90D4B">
        <w:rPr>
          <w:sz w:val="24"/>
          <w:szCs w:val="24"/>
        </w:rPr>
        <w:t xml:space="preserve">as to </w:t>
      </w:r>
      <w:r>
        <w:rPr>
          <w:sz w:val="24"/>
          <w:szCs w:val="24"/>
        </w:rPr>
        <w:t>whether or not risks are worth taking is</w:t>
      </w:r>
      <w:r w:rsidR="00E90D4B">
        <w:rPr>
          <w:sz w:val="24"/>
          <w:szCs w:val="24"/>
        </w:rPr>
        <w:t xml:space="preserve"> </w:t>
      </w:r>
      <w:r w:rsidR="00E3561F">
        <w:rPr>
          <w:sz w:val="24"/>
          <w:szCs w:val="24"/>
        </w:rPr>
        <w:t xml:space="preserve">always </w:t>
      </w:r>
      <w:r>
        <w:rPr>
          <w:sz w:val="24"/>
          <w:szCs w:val="24"/>
        </w:rPr>
        <w:t>influenced by</w:t>
      </w:r>
      <w:r w:rsidR="00A479A1">
        <w:rPr>
          <w:sz w:val="24"/>
          <w:szCs w:val="24"/>
        </w:rPr>
        <w:t xml:space="preserve"> an evaluation of</w:t>
      </w:r>
      <w:r>
        <w:rPr>
          <w:sz w:val="24"/>
          <w:szCs w:val="24"/>
        </w:rPr>
        <w:t xml:space="preserve"> the advantages </w:t>
      </w:r>
      <w:r>
        <w:rPr>
          <w:sz w:val="24"/>
          <w:szCs w:val="24"/>
        </w:rPr>
        <w:lastRenderedPageBreak/>
        <w:t>and disadvant</w:t>
      </w:r>
      <w:r w:rsidR="00E90D4B">
        <w:rPr>
          <w:sz w:val="24"/>
          <w:szCs w:val="24"/>
        </w:rPr>
        <w:t>a</w:t>
      </w:r>
      <w:r>
        <w:rPr>
          <w:sz w:val="24"/>
          <w:szCs w:val="24"/>
        </w:rPr>
        <w:t xml:space="preserve">ges associated with </w:t>
      </w:r>
      <w:r w:rsidR="00E90D4B">
        <w:rPr>
          <w:sz w:val="24"/>
          <w:szCs w:val="24"/>
        </w:rPr>
        <w:t>a</w:t>
      </w:r>
      <w:r>
        <w:rPr>
          <w:sz w:val="24"/>
          <w:szCs w:val="24"/>
        </w:rPr>
        <w:t xml:space="preserve"> product </w:t>
      </w:r>
      <w:r w:rsidR="00E90D4B">
        <w:rPr>
          <w:sz w:val="24"/>
          <w:szCs w:val="24"/>
        </w:rPr>
        <w:t>or</w:t>
      </w:r>
      <w:r>
        <w:rPr>
          <w:sz w:val="24"/>
          <w:szCs w:val="24"/>
        </w:rPr>
        <w:t xml:space="preserve"> process</w:t>
      </w:r>
      <w:r w:rsidR="00E90D4B">
        <w:rPr>
          <w:sz w:val="24"/>
          <w:szCs w:val="24"/>
        </w:rPr>
        <w:t>. Wh</w:t>
      </w:r>
      <w:r>
        <w:rPr>
          <w:sz w:val="24"/>
          <w:szCs w:val="24"/>
        </w:rPr>
        <w:t>en</w:t>
      </w:r>
      <w:r w:rsidR="00E90D4B">
        <w:rPr>
          <w:sz w:val="24"/>
          <w:szCs w:val="24"/>
        </w:rPr>
        <w:t xml:space="preserve"> the</w:t>
      </w:r>
      <w:r>
        <w:rPr>
          <w:sz w:val="24"/>
          <w:szCs w:val="24"/>
        </w:rPr>
        <w:t xml:space="preserve"> stakes are h</w:t>
      </w:r>
      <w:r w:rsidR="00E90D4B">
        <w:rPr>
          <w:sz w:val="24"/>
          <w:szCs w:val="24"/>
        </w:rPr>
        <w:t>i</w:t>
      </w:r>
      <w:r>
        <w:rPr>
          <w:sz w:val="24"/>
          <w:szCs w:val="24"/>
        </w:rPr>
        <w:t>gh</w:t>
      </w:r>
      <w:r w:rsidR="00492787">
        <w:rPr>
          <w:sz w:val="24"/>
          <w:szCs w:val="24"/>
        </w:rPr>
        <w:t xml:space="preserve"> and the societal benefits of a products are clear</w:t>
      </w:r>
      <w:r>
        <w:rPr>
          <w:sz w:val="24"/>
          <w:szCs w:val="24"/>
        </w:rPr>
        <w:t xml:space="preserve"> uncertain risks will be socially acceptable</w:t>
      </w:r>
      <w:r w:rsidR="006242D2">
        <w:rPr>
          <w:sz w:val="24"/>
          <w:szCs w:val="24"/>
        </w:rPr>
        <w:t xml:space="preserve"> even for risk averse constituencies</w:t>
      </w:r>
      <w:r w:rsidR="00D37C0B">
        <w:rPr>
          <w:sz w:val="24"/>
          <w:szCs w:val="24"/>
        </w:rPr>
        <w:t>. T</w:t>
      </w:r>
      <w:r w:rsidR="00492787">
        <w:rPr>
          <w:sz w:val="24"/>
          <w:szCs w:val="24"/>
        </w:rPr>
        <w:t xml:space="preserve">he positive reception of COVID-19 vaccines, notwithstanding their unprecedentedly fast development and uncertainties surrounding </w:t>
      </w:r>
      <w:r w:rsidR="009E1F31">
        <w:rPr>
          <w:sz w:val="24"/>
          <w:szCs w:val="24"/>
        </w:rPr>
        <w:t xml:space="preserve">specific potential </w:t>
      </w:r>
      <w:r w:rsidR="00B32F66">
        <w:rPr>
          <w:sz w:val="24"/>
          <w:szCs w:val="24"/>
        </w:rPr>
        <w:t>risks</w:t>
      </w:r>
      <w:r w:rsidR="00492787">
        <w:rPr>
          <w:sz w:val="24"/>
          <w:szCs w:val="24"/>
        </w:rPr>
        <w:t xml:space="preserve"> associated with vaccination, testif</w:t>
      </w:r>
      <w:r w:rsidR="00D37C0B">
        <w:rPr>
          <w:sz w:val="24"/>
          <w:szCs w:val="24"/>
        </w:rPr>
        <w:t>ies</w:t>
      </w:r>
      <w:r w:rsidR="00492787">
        <w:rPr>
          <w:sz w:val="24"/>
          <w:szCs w:val="24"/>
        </w:rPr>
        <w:t xml:space="preserve"> </w:t>
      </w:r>
      <w:r w:rsidR="00D37C0B">
        <w:rPr>
          <w:sz w:val="24"/>
          <w:szCs w:val="24"/>
        </w:rPr>
        <w:t>to</w:t>
      </w:r>
      <w:r w:rsidR="00492787">
        <w:rPr>
          <w:sz w:val="24"/>
          <w:szCs w:val="24"/>
        </w:rPr>
        <w:t xml:space="preserve"> this.</w:t>
      </w:r>
    </w:p>
    <w:p w14:paraId="2198C2D6" w14:textId="790D1BF2" w:rsidR="00EF039C" w:rsidRDefault="00FD6A6D" w:rsidP="00E90D4B">
      <w:pPr>
        <w:spacing w:after="0" w:line="276" w:lineRule="auto"/>
        <w:ind w:firstLine="720"/>
        <w:jc w:val="both"/>
        <w:rPr>
          <w:sz w:val="24"/>
          <w:szCs w:val="24"/>
        </w:rPr>
      </w:pPr>
      <w:r>
        <w:rPr>
          <w:sz w:val="24"/>
          <w:szCs w:val="24"/>
        </w:rPr>
        <w:t>This</w:t>
      </w:r>
      <w:r w:rsidR="00F83608">
        <w:rPr>
          <w:sz w:val="24"/>
          <w:szCs w:val="24"/>
        </w:rPr>
        <w:t xml:space="preserve"> book has argued</w:t>
      </w:r>
      <w:r w:rsidR="00A830CE">
        <w:rPr>
          <w:sz w:val="24"/>
          <w:szCs w:val="24"/>
        </w:rPr>
        <w:t xml:space="preserve"> that </w:t>
      </w:r>
      <w:r w:rsidR="00310F7B">
        <w:rPr>
          <w:sz w:val="24"/>
          <w:szCs w:val="24"/>
        </w:rPr>
        <w:t>the determination of</w:t>
      </w:r>
      <w:r w:rsidR="00636130">
        <w:rPr>
          <w:sz w:val="24"/>
          <w:szCs w:val="24"/>
        </w:rPr>
        <w:t xml:space="preserve"> the threshold of </w:t>
      </w:r>
      <w:r w:rsidR="00651328">
        <w:rPr>
          <w:sz w:val="24"/>
          <w:szCs w:val="24"/>
        </w:rPr>
        <w:t xml:space="preserve"> </w:t>
      </w:r>
      <w:r w:rsidR="00310F7B" w:rsidRPr="00D37C0B">
        <w:rPr>
          <w:sz w:val="24"/>
          <w:szCs w:val="24"/>
        </w:rPr>
        <w:t>legally relevant</w:t>
      </w:r>
      <w:r w:rsidR="00310F7B">
        <w:rPr>
          <w:sz w:val="24"/>
          <w:szCs w:val="24"/>
        </w:rPr>
        <w:t xml:space="preserve"> adverse effects</w:t>
      </w:r>
      <w:r w:rsidR="00F83608">
        <w:rPr>
          <w:sz w:val="24"/>
          <w:szCs w:val="24"/>
        </w:rPr>
        <w:t>,</w:t>
      </w:r>
      <w:r w:rsidR="00287EA5">
        <w:rPr>
          <w:sz w:val="24"/>
          <w:szCs w:val="24"/>
        </w:rPr>
        <w:t xml:space="preserve"> </w:t>
      </w:r>
      <w:r w:rsidR="00D6328A">
        <w:rPr>
          <w:sz w:val="24"/>
          <w:szCs w:val="24"/>
        </w:rPr>
        <w:t>warranting</w:t>
      </w:r>
      <w:r w:rsidR="00310F7B">
        <w:rPr>
          <w:sz w:val="24"/>
          <w:szCs w:val="24"/>
        </w:rPr>
        <w:t xml:space="preserve"> regulatory intervention,</w:t>
      </w:r>
      <w:r w:rsidR="00A830CE" w:rsidRPr="00A830CE">
        <w:rPr>
          <w:sz w:val="24"/>
          <w:szCs w:val="24"/>
        </w:rPr>
        <w:t xml:space="preserve"> </w:t>
      </w:r>
      <w:r w:rsidR="00A830CE">
        <w:rPr>
          <w:sz w:val="24"/>
          <w:szCs w:val="24"/>
        </w:rPr>
        <w:t>is never a matter of “pure” science</w:t>
      </w:r>
      <w:r w:rsidR="00310F7B">
        <w:rPr>
          <w:sz w:val="24"/>
          <w:szCs w:val="24"/>
        </w:rPr>
        <w:t>.</w:t>
      </w:r>
      <w:r w:rsidR="00A830CE">
        <w:rPr>
          <w:rStyle w:val="Rimandonotaapidipagina"/>
          <w:sz w:val="24"/>
          <w:szCs w:val="24"/>
        </w:rPr>
        <w:footnoteReference w:id="3"/>
      </w:r>
      <w:r w:rsidR="00A830CE">
        <w:rPr>
          <w:sz w:val="24"/>
          <w:szCs w:val="24"/>
        </w:rPr>
        <w:t xml:space="preserve"> Rather, this</w:t>
      </w:r>
      <w:r w:rsidR="00310F7B">
        <w:rPr>
          <w:sz w:val="24"/>
          <w:szCs w:val="24"/>
        </w:rPr>
        <w:t xml:space="preserve"> determination</w:t>
      </w:r>
      <w:r w:rsidR="00A830CE">
        <w:rPr>
          <w:sz w:val="24"/>
          <w:szCs w:val="24"/>
        </w:rPr>
        <w:t xml:space="preserve"> results from </w:t>
      </w:r>
      <w:r w:rsidR="00F83608">
        <w:rPr>
          <w:sz w:val="24"/>
          <w:szCs w:val="24"/>
        </w:rPr>
        <w:t xml:space="preserve">three </w:t>
      </w:r>
      <w:r w:rsidR="00A830CE">
        <w:rPr>
          <w:sz w:val="24"/>
          <w:szCs w:val="24"/>
        </w:rPr>
        <w:t>different</w:t>
      </w:r>
      <w:r w:rsidR="003900FD">
        <w:rPr>
          <w:sz w:val="24"/>
          <w:szCs w:val="24"/>
        </w:rPr>
        <w:t xml:space="preserve"> </w:t>
      </w:r>
      <w:r w:rsidR="00A830CE">
        <w:rPr>
          <w:sz w:val="24"/>
          <w:szCs w:val="24"/>
        </w:rPr>
        <w:t xml:space="preserve">factors. </w:t>
      </w:r>
      <w:r w:rsidR="00D6328A">
        <w:rPr>
          <w:sz w:val="24"/>
          <w:szCs w:val="24"/>
        </w:rPr>
        <w:t>The f</w:t>
      </w:r>
      <w:r w:rsidR="00A830CE">
        <w:rPr>
          <w:sz w:val="24"/>
          <w:szCs w:val="24"/>
        </w:rPr>
        <w:t>irst</w:t>
      </w:r>
      <w:r w:rsidR="00D6328A">
        <w:rPr>
          <w:sz w:val="24"/>
          <w:szCs w:val="24"/>
        </w:rPr>
        <w:t xml:space="preserve"> factor consists </w:t>
      </w:r>
      <w:r w:rsidR="002347C7">
        <w:rPr>
          <w:sz w:val="24"/>
          <w:szCs w:val="24"/>
        </w:rPr>
        <w:t>of</w:t>
      </w:r>
      <w:r w:rsidR="00F83608">
        <w:rPr>
          <w:sz w:val="24"/>
          <w:szCs w:val="24"/>
        </w:rPr>
        <w:t xml:space="preserve"> recourse to more or less prudential approaches to risk assessment</w:t>
      </w:r>
      <w:r>
        <w:rPr>
          <w:sz w:val="24"/>
          <w:szCs w:val="24"/>
        </w:rPr>
        <w:t>. T</w:t>
      </w:r>
      <w:r w:rsidR="00B54868">
        <w:rPr>
          <w:sz w:val="24"/>
          <w:szCs w:val="24"/>
        </w:rPr>
        <w:t xml:space="preserve">his results in a different </w:t>
      </w:r>
      <w:r w:rsidR="00B54868" w:rsidRPr="009B06E0">
        <w:rPr>
          <w:sz w:val="24"/>
          <w:szCs w:val="24"/>
        </w:rPr>
        <w:t xml:space="preserve">evidence base. The second factor consists </w:t>
      </w:r>
      <w:r w:rsidR="0067502F" w:rsidRPr="009B06E0">
        <w:rPr>
          <w:sz w:val="24"/>
          <w:szCs w:val="24"/>
        </w:rPr>
        <w:t>of a</w:t>
      </w:r>
      <w:r w:rsidR="00A830CE" w:rsidRPr="009B06E0">
        <w:rPr>
          <w:sz w:val="24"/>
          <w:szCs w:val="24"/>
        </w:rPr>
        <w:t xml:space="preserve"> </w:t>
      </w:r>
      <w:r w:rsidR="00310F7B" w:rsidRPr="009B06E0">
        <w:rPr>
          <w:sz w:val="24"/>
          <w:szCs w:val="24"/>
        </w:rPr>
        <w:t>regulatory</w:t>
      </w:r>
      <w:r w:rsidR="00A830CE" w:rsidRPr="009B06E0">
        <w:rPr>
          <w:sz w:val="24"/>
          <w:szCs w:val="24"/>
        </w:rPr>
        <w:t xml:space="preserve"> focus on </w:t>
      </w:r>
      <w:r w:rsidR="00074DA1" w:rsidRPr="009B06E0">
        <w:rPr>
          <w:sz w:val="24"/>
          <w:szCs w:val="24"/>
        </w:rPr>
        <w:t xml:space="preserve">persisting </w:t>
      </w:r>
      <w:r w:rsidR="00A830CE" w:rsidRPr="009B06E0">
        <w:rPr>
          <w:sz w:val="24"/>
          <w:szCs w:val="24"/>
        </w:rPr>
        <w:t>uncertaint</w:t>
      </w:r>
      <w:r w:rsidR="009D51E0" w:rsidRPr="009B06E0">
        <w:rPr>
          <w:sz w:val="24"/>
          <w:szCs w:val="24"/>
        </w:rPr>
        <w:t>y</w:t>
      </w:r>
      <w:r w:rsidR="00A830CE" w:rsidRPr="009B06E0">
        <w:rPr>
          <w:sz w:val="24"/>
          <w:szCs w:val="24"/>
        </w:rPr>
        <w:t xml:space="preserve">, as opposed to </w:t>
      </w:r>
      <w:r w:rsidR="00BD25D1" w:rsidRPr="009B06E0">
        <w:rPr>
          <w:sz w:val="24"/>
          <w:szCs w:val="24"/>
        </w:rPr>
        <w:t xml:space="preserve">adherence to </w:t>
      </w:r>
      <w:r w:rsidR="009D51E0" w:rsidRPr="009B06E0">
        <w:rPr>
          <w:sz w:val="24"/>
          <w:szCs w:val="24"/>
        </w:rPr>
        <w:t>s</w:t>
      </w:r>
      <w:r w:rsidR="00A830CE" w:rsidRPr="009B06E0">
        <w:rPr>
          <w:sz w:val="24"/>
          <w:szCs w:val="24"/>
        </w:rPr>
        <w:t xml:space="preserve">ound science, i.e. </w:t>
      </w:r>
      <w:r w:rsidR="00E3561F">
        <w:rPr>
          <w:sz w:val="24"/>
          <w:szCs w:val="24"/>
        </w:rPr>
        <w:t>conclusive proof of the existence of specific hazards and risks</w:t>
      </w:r>
      <w:r w:rsidR="00A830CE" w:rsidRPr="009B06E0">
        <w:rPr>
          <w:sz w:val="24"/>
          <w:szCs w:val="24"/>
        </w:rPr>
        <w:t>.</w:t>
      </w:r>
      <w:r w:rsidR="009D51E0" w:rsidRPr="009B06E0">
        <w:rPr>
          <w:rStyle w:val="Rimandonotaapidipagina"/>
          <w:sz w:val="24"/>
          <w:szCs w:val="24"/>
        </w:rPr>
        <w:footnoteReference w:id="4"/>
      </w:r>
      <w:r w:rsidR="00A830CE" w:rsidRPr="009B06E0">
        <w:rPr>
          <w:sz w:val="24"/>
          <w:szCs w:val="24"/>
        </w:rPr>
        <w:t xml:space="preserve"> </w:t>
      </w:r>
      <w:r w:rsidR="009D51E0" w:rsidRPr="009B06E0">
        <w:rPr>
          <w:sz w:val="24"/>
          <w:szCs w:val="24"/>
        </w:rPr>
        <w:t xml:space="preserve">This results in different inferences. </w:t>
      </w:r>
      <w:r w:rsidR="009D51E0">
        <w:rPr>
          <w:sz w:val="24"/>
          <w:szCs w:val="24"/>
        </w:rPr>
        <w:t xml:space="preserve">As the book has illustrated, different </w:t>
      </w:r>
      <w:r w:rsidR="009D51E0" w:rsidRPr="009B06E0">
        <w:rPr>
          <w:sz w:val="24"/>
          <w:szCs w:val="24"/>
        </w:rPr>
        <w:t>normative frames</w:t>
      </w:r>
      <w:r w:rsidR="009D51E0">
        <w:rPr>
          <w:sz w:val="24"/>
          <w:szCs w:val="24"/>
        </w:rPr>
        <w:t xml:space="preserve"> come into play </w:t>
      </w:r>
      <w:r w:rsidR="009D51E0" w:rsidRPr="00D37C0B">
        <w:rPr>
          <w:sz w:val="24"/>
          <w:szCs w:val="24"/>
        </w:rPr>
        <w:t>indirectly</w:t>
      </w:r>
      <w:r w:rsidR="009D51E0">
        <w:rPr>
          <w:sz w:val="24"/>
          <w:szCs w:val="24"/>
        </w:rPr>
        <w:t xml:space="preserve"> at this stage. Reliance on sound scientific approaches as a matter of risk assessment policy and regulatory focus on sound science are cost-benefit effective in and of themselves; they </w:t>
      </w:r>
      <w:r w:rsidR="00310F7B">
        <w:rPr>
          <w:sz w:val="24"/>
          <w:szCs w:val="24"/>
        </w:rPr>
        <w:t xml:space="preserve">relieve market actors </w:t>
      </w:r>
      <w:r w:rsidR="00287EA5">
        <w:rPr>
          <w:sz w:val="24"/>
          <w:szCs w:val="24"/>
        </w:rPr>
        <w:t>from</w:t>
      </w:r>
      <w:r w:rsidR="00310F7B">
        <w:rPr>
          <w:sz w:val="24"/>
          <w:szCs w:val="24"/>
        </w:rPr>
        <w:t xml:space="preserve"> regulatory burdens and economic costs</w:t>
      </w:r>
      <w:r w:rsidR="00636130">
        <w:rPr>
          <w:sz w:val="24"/>
          <w:szCs w:val="24"/>
        </w:rPr>
        <w:t>,</w:t>
      </w:r>
      <w:r w:rsidR="00F83608">
        <w:rPr>
          <w:sz w:val="24"/>
          <w:szCs w:val="24"/>
        </w:rPr>
        <w:t xml:space="preserve"> </w:t>
      </w:r>
      <w:r w:rsidR="009D51E0">
        <w:rPr>
          <w:sz w:val="24"/>
          <w:szCs w:val="24"/>
        </w:rPr>
        <w:t>a</w:t>
      </w:r>
      <w:r w:rsidR="00F83608">
        <w:rPr>
          <w:sz w:val="24"/>
          <w:szCs w:val="24"/>
        </w:rPr>
        <w:t xml:space="preserve">nd indirectly reflect </w:t>
      </w:r>
      <w:r w:rsidR="009D51E0">
        <w:rPr>
          <w:sz w:val="24"/>
          <w:szCs w:val="24"/>
        </w:rPr>
        <w:t xml:space="preserve">the </w:t>
      </w:r>
      <w:r w:rsidR="00F83608">
        <w:rPr>
          <w:sz w:val="24"/>
          <w:szCs w:val="24"/>
        </w:rPr>
        <w:t>pursuit</w:t>
      </w:r>
      <w:r w:rsidR="009D51E0">
        <w:rPr>
          <w:sz w:val="24"/>
          <w:szCs w:val="24"/>
        </w:rPr>
        <w:t xml:space="preserve"> of a cost-benefit effective level of protection. </w:t>
      </w:r>
      <w:r w:rsidR="00636130">
        <w:rPr>
          <w:sz w:val="24"/>
          <w:szCs w:val="24"/>
        </w:rPr>
        <w:t>Adherence to prudential approaches and a</w:t>
      </w:r>
      <w:r w:rsidR="00310F7B">
        <w:rPr>
          <w:sz w:val="24"/>
          <w:szCs w:val="24"/>
        </w:rPr>
        <w:t xml:space="preserve"> focus on persisting uncertaint</w:t>
      </w:r>
      <w:r w:rsidR="00636130">
        <w:rPr>
          <w:sz w:val="24"/>
          <w:szCs w:val="24"/>
        </w:rPr>
        <w:t>ies</w:t>
      </w:r>
      <w:r w:rsidR="00074DA1">
        <w:rPr>
          <w:sz w:val="24"/>
          <w:szCs w:val="24"/>
        </w:rPr>
        <w:t xml:space="preserve"> and scientific insufficiency</w:t>
      </w:r>
      <w:r w:rsidR="00310F7B">
        <w:rPr>
          <w:sz w:val="24"/>
          <w:szCs w:val="24"/>
        </w:rPr>
        <w:t xml:space="preserve">, by contrast, </w:t>
      </w:r>
      <w:r w:rsidR="00636130">
        <w:rPr>
          <w:sz w:val="24"/>
          <w:szCs w:val="24"/>
        </w:rPr>
        <w:t xml:space="preserve">indirectly </w:t>
      </w:r>
      <w:r w:rsidR="00310F7B">
        <w:rPr>
          <w:sz w:val="24"/>
          <w:szCs w:val="24"/>
        </w:rPr>
        <w:t xml:space="preserve">reflect the pursuit of a </w:t>
      </w:r>
      <w:r w:rsidR="00636130" w:rsidRPr="00E647E6">
        <w:rPr>
          <w:sz w:val="24"/>
          <w:szCs w:val="24"/>
        </w:rPr>
        <w:t>higher than cost-benefit</w:t>
      </w:r>
      <w:r w:rsidR="00787855">
        <w:rPr>
          <w:sz w:val="24"/>
          <w:szCs w:val="24"/>
        </w:rPr>
        <w:t xml:space="preserve"> effective</w:t>
      </w:r>
      <w:r w:rsidR="00310F7B">
        <w:rPr>
          <w:sz w:val="24"/>
          <w:szCs w:val="24"/>
        </w:rPr>
        <w:t xml:space="preserve"> level of protection</w:t>
      </w:r>
      <w:r w:rsidR="00074DA1">
        <w:rPr>
          <w:sz w:val="24"/>
          <w:szCs w:val="24"/>
        </w:rPr>
        <w:t xml:space="preserve"> and consideration of OLFs</w:t>
      </w:r>
      <w:r w:rsidR="009B06E0">
        <w:rPr>
          <w:sz w:val="24"/>
          <w:szCs w:val="24"/>
        </w:rPr>
        <w:t>. I</w:t>
      </w:r>
      <w:r w:rsidR="00636130">
        <w:rPr>
          <w:sz w:val="24"/>
          <w:szCs w:val="24"/>
        </w:rPr>
        <w:t xml:space="preserve">n other words, they </w:t>
      </w:r>
      <w:r w:rsidR="00310F7B">
        <w:rPr>
          <w:sz w:val="24"/>
          <w:szCs w:val="24"/>
        </w:rPr>
        <w:t>embod</w:t>
      </w:r>
      <w:r w:rsidR="00636130">
        <w:rPr>
          <w:sz w:val="24"/>
          <w:szCs w:val="24"/>
        </w:rPr>
        <w:t>y</w:t>
      </w:r>
      <w:r w:rsidR="00310F7B">
        <w:rPr>
          <w:sz w:val="24"/>
          <w:szCs w:val="24"/>
        </w:rPr>
        <w:t xml:space="preserve"> the assumption that </w:t>
      </w:r>
      <w:r w:rsidR="00C259D2">
        <w:rPr>
          <w:sz w:val="24"/>
          <w:szCs w:val="24"/>
        </w:rPr>
        <w:t>“society may be willing to pay a high cost to protect an interest to which it attaches priority”</w:t>
      </w:r>
      <w:r w:rsidR="003900FD">
        <w:rPr>
          <w:sz w:val="24"/>
          <w:szCs w:val="24"/>
        </w:rPr>
        <w:t>.</w:t>
      </w:r>
      <w:r w:rsidR="00C259D2">
        <w:rPr>
          <w:rStyle w:val="Rimandonotaapidipagina"/>
          <w:sz w:val="24"/>
          <w:szCs w:val="24"/>
        </w:rPr>
        <w:footnoteReference w:id="5"/>
      </w:r>
      <w:r w:rsidR="00787855">
        <w:rPr>
          <w:sz w:val="24"/>
          <w:szCs w:val="24"/>
        </w:rPr>
        <w:t xml:space="preserve"> </w:t>
      </w:r>
    </w:p>
    <w:p w14:paraId="6F6148AF" w14:textId="3C53872C" w:rsidR="00915939" w:rsidRDefault="00EF039C" w:rsidP="00FD6A6D">
      <w:pPr>
        <w:spacing w:after="0" w:line="276" w:lineRule="auto"/>
        <w:ind w:firstLine="720"/>
        <w:jc w:val="both"/>
        <w:rPr>
          <w:sz w:val="24"/>
          <w:szCs w:val="24"/>
        </w:rPr>
      </w:pPr>
      <w:r>
        <w:rPr>
          <w:sz w:val="24"/>
          <w:szCs w:val="24"/>
        </w:rPr>
        <w:t xml:space="preserve">The </w:t>
      </w:r>
      <w:r w:rsidR="00636130">
        <w:rPr>
          <w:sz w:val="24"/>
          <w:szCs w:val="24"/>
        </w:rPr>
        <w:t xml:space="preserve">third </w:t>
      </w:r>
      <w:r>
        <w:rPr>
          <w:sz w:val="24"/>
          <w:szCs w:val="24"/>
        </w:rPr>
        <w:t xml:space="preserve">factor impacting on the determination of legally relevant adverse effects is the </w:t>
      </w:r>
      <w:r w:rsidRPr="009B06E0">
        <w:rPr>
          <w:sz w:val="24"/>
          <w:szCs w:val="24"/>
        </w:rPr>
        <w:t xml:space="preserve">intended level of protection </w:t>
      </w:r>
      <w:r>
        <w:rPr>
          <w:sz w:val="24"/>
          <w:szCs w:val="24"/>
        </w:rPr>
        <w:t xml:space="preserve">pursued by regulators. </w:t>
      </w:r>
      <w:r w:rsidR="00636130">
        <w:rPr>
          <w:sz w:val="24"/>
          <w:szCs w:val="24"/>
        </w:rPr>
        <w:t>T</w:t>
      </w:r>
      <w:r>
        <w:rPr>
          <w:sz w:val="24"/>
          <w:szCs w:val="24"/>
        </w:rPr>
        <w:t xml:space="preserve">his comes into play </w:t>
      </w:r>
      <w:r w:rsidRPr="00651328">
        <w:rPr>
          <w:i/>
          <w:iCs/>
          <w:sz w:val="24"/>
          <w:szCs w:val="24"/>
        </w:rPr>
        <w:t>indirectly</w:t>
      </w:r>
      <w:r w:rsidR="00636130">
        <w:rPr>
          <w:sz w:val="24"/>
          <w:szCs w:val="24"/>
        </w:rPr>
        <w:t xml:space="preserve">, as the </w:t>
      </w:r>
      <w:r w:rsidR="00636130" w:rsidRPr="009B06E0">
        <w:rPr>
          <w:sz w:val="24"/>
          <w:szCs w:val="24"/>
        </w:rPr>
        <w:t>normative frame</w:t>
      </w:r>
      <w:r w:rsidR="00636130">
        <w:rPr>
          <w:sz w:val="24"/>
          <w:szCs w:val="24"/>
        </w:rPr>
        <w:t xml:space="preserve"> through which science is assessed and evaluated, when experts conduct their risk assessment and regulators draw all relevant inferences from the available evidence base. </w:t>
      </w:r>
      <w:r>
        <w:rPr>
          <w:sz w:val="24"/>
          <w:szCs w:val="24"/>
        </w:rPr>
        <w:t xml:space="preserve">However, it surfaces more clearly and plays a </w:t>
      </w:r>
      <w:r w:rsidRPr="00651328">
        <w:rPr>
          <w:i/>
          <w:iCs/>
          <w:sz w:val="24"/>
          <w:szCs w:val="24"/>
        </w:rPr>
        <w:t>direct</w:t>
      </w:r>
      <w:r>
        <w:rPr>
          <w:sz w:val="24"/>
          <w:szCs w:val="24"/>
        </w:rPr>
        <w:t xml:space="preserve"> role in</w:t>
      </w:r>
      <w:r w:rsidR="00915939">
        <w:rPr>
          <w:sz w:val="24"/>
          <w:szCs w:val="24"/>
        </w:rPr>
        <w:t xml:space="preserve"> </w:t>
      </w:r>
      <w:r>
        <w:rPr>
          <w:sz w:val="24"/>
          <w:szCs w:val="24"/>
        </w:rPr>
        <w:t xml:space="preserve">cases where hazards and risks have been conclusively proven. In these cases, regulators confront the question </w:t>
      </w:r>
      <w:r w:rsidRPr="00E647E6">
        <w:rPr>
          <w:sz w:val="24"/>
          <w:szCs w:val="24"/>
        </w:rPr>
        <w:t>whether</w:t>
      </w:r>
      <w:r w:rsidRPr="008064AE">
        <w:rPr>
          <w:sz w:val="24"/>
          <w:szCs w:val="24"/>
        </w:rPr>
        <w:t xml:space="preserve"> or </w:t>
      </w:r>
      <w:r w:rsidRPr="00E647E6">
        <w:rPr>
          <w:sz w:val="24"/>
          <w:szCs w:val="24"/>
        </w:rPr>
        <w:t>not</w:t>
      </w:r>
      <w:r w:rsidRPr="008064AE">
        <w:rPr>
          <w:sz w:val="24"/>
          <w:szCs w:val="24"/>
        </w:rPr>
        <w:t xml:space="preserve">, or </w:t>
      </w:r>
      <w:r w:rsidRPr="00E647E6">
        <w:rPr>
          <w:sz w:val="24"/>
          <w:szCs w:val="24"/>
        </w:rPr>
        <w:t>to what extent</w:t>
      </w:r>
      <w:r w:rsidRPr="008064AE">
        <w:rPr>
          <w:sz w:val="24"/>
          <w:szCs w:val="24"/>
        </w:rPr>
        <w:t>,</w:t>
      </w:r>
      <w:r>
        <w:rPr>
          <w:sz w:val="24"/>
          <w:szCs w:val="24"/>
        </w:rPr>
        <w:t xml:space="preserve"> to regulate hazardous products or processes in the face of predicted exposures. </w:t>
      </w:r>
      <w:r w:rsidR="003900FD">
        <w:rPr>
          <w:sz w:val="24"/>
          <w:szCs w:val="24"/>
        </w:rPr>
        <w:t xml:space="preserve">Even where faced with the </w:t>
      </w:r>
      <w:r w:rsidR="003900FD" w:rsidRPr="00E647E6">
        <w:rPr>
          <w:sz w:val="24"/>
          <w:szCs w:val="24"/>
        </w:rPr>
        <w:t>same exact</w:t>
      </w:r>
      <w:r w:rsidR="003900FD">
        <w:rPr>
          <w:sz w:val="24"/>
          <w:szCs w:val="24"/>
        </w:rPr>
        <w:t xml:space="preserve"> scientific evidence, regulators pursuing different levels of protection will draw different conclusions as to the acceptability of </w:t>
      </w:r>
      <w:r w:rsidR="00D24844">
        <w:rPr>
          <w:sz w:val="24"/>
          <w:szCs w:val="24"/>
        </w:rPr>
        <w:t xml:space="preserve">a </w:t>
      </w:r>
      <w:r w:rsidR="003900FD">
        <w:rPr>
          <w:sz w:val="24"/>
          <w:szCs w:val="24"/>
        </w:rPr>
        <w:t>risk</w:t>
      </w:r>
      <w:r w:rsidR="00D24844">
        <w:rPr>
          <w:sz w:val="24"/>
          <w:szCs w:val="24"/>
        </w:rPr>
        <w:t xml:space="preserve"> and </w:t>
      </w:r>
      <w:r w:rsidR="00FD6A6D">
        <w:rPr>
          <w:sz w:val="24"/>
          <w:szCs w:val="24"/>
        </w:rPr>
        <w:t xml:space="preserve">the </w:t>
      </w:r>
      <w:r w:rsidR="00D24844">
        <w:rPr>
          <w:sz w:val="24"/>
          <w:szCs w:val="24"/>
        </w:rPr>
        <w:t>threshold of risk triggering regulatory intervention.</w:t>
      </w:r>
    </w:p>
    <w:p w14:paraId="402FFB2D" w14:textId="1175A14E" w:rsidR="00915939" w:rsidRDefault="00EF039C" w:rsidP="00FD6A6D">
      <w:pPr>
        <w:spacing w:after="0" w:line="276" w:lineRule="auto"/>
        <w:ind w:firstLine="720"/>
        <w:jc w:val="both"/>
        <w:rPr>
          <w:sz w:val="24"/>
          <w:szCs w:val="24"/>
        </w:rPr>
      </w:pPr>
      <w:r>
        <w:rPr>
          <w:sz w:val="24"/>
          <w:szCs w:val="24"/>
        </w:rPr>
        <w:t>Under evidence-based</w:t>
      </w:r>
      <w:r w:rsidR="00D6328A">
        <w:rPr>
          <w:sz w:val="24"/>
          <w:szCs w:val="24"/>
        </w:rPr>
        <w:t xml:space="preserve"> models, the intended level of protection pursued by regulators shall be</w:t>
      </w:r>
      <w:r w:rsidR="00636130">
        <w:rPr>
          <w:sz w:val="24"/>
          <w:szCs w:val="24"/>
        </w:rPr>
        <w:t xml:space="preserve"> </w:t>
      </w:r>
      <w:r w:rsidR="00636130" w:rsidRPr="009B06E0">
        <w:rPr>
          <w:sz w:val="24"/>
          <w:szCs w:val="24"/>
        </w:rPr>
        <w:t>economically</w:t>
      </w:r>
      <w:r w:rsidR="00D6328A" w:rsidRPr="009B06E0">
        <w:rPr>
          <w:sz w:val="24"/>
          <w:szCs w:val="24"/>
        </w:rPr>
        <w:t xml:space="preserve"> cost-benefit effective</w:t>
      </w:r>
      <w:r w:rsidR="00FD6A6D">
        <w:rPr>
          <w:sz w:val="24"/>
          <w:szCs w:val="24"/>
        </w:rPr>
        <w:t>. O</w:t>
      </w:r>
      <w:r w:rsidR="00D6328A">
        <w:rPr>
          <w:sz w:val="24"/>
          <w:szCs w:val="24"/>
        </w:rPr>
        <w:t xml:space="preserve">n these grounds, </w:t>
      </w:r>
      <w:r w:rsidR="00A6253F">
        <w:rPr>
          <w:sz w:val="24"/>
          <w:szCs w:val="24"/>
        </w:rPr>
        <w:t>uncertain risks should only be regulated insofar as the relevant public health and environmental benefits are expected to outweigh the economic costs associated with risk regulation. Ultimately, risks will be regulated where the choice not to regulate would no longer prove cost-benefit effective</w:t>
      </w:r>
      <w:r w:rsidR="00C259D2">
        <w:rPr>
          <w:sz w:val="24"/>
          <w:szCs w:val="24"/>
        </w:rPr>
        <w:t>. T</w:t>
      </w:r>
      <w:r w:rsidR="00A6253F">
        <w:rPr>
          <w:sz w:val="24"/>
          <w:szCs w:val="24"/>
        </w:rPr>
        <w:t>he relevant adverse effects should not be “unreasonable”</w:t>
      </w:r>
      <w:r w:rsidR="00636130">
        <w:rPr>
          <w:sz w:val="24"/>
          <w:szCs w:val="24"/>
        </w:rPr>
        <w:t xml:space="preserve"> and “excessive”</w:t>
      </w:r>
      <w:r w:rsidR="00A6253F">
        <w:rPr>
          <w:sz w:val="24"/>
          <w:szCs w:val="24"/>
        </w:rPr>
        <w:t xml:space="preserve">, taking into consideration the economic costs that risk regulation would shift onto market actors and the economic benefits that the relevant products or processes can yield. </w:t>
      </w:r>
    </w:p>
    <w:p w14:paraId="2C18AC1E" w14:textId="1A920438" w:rsidR="00B723D0" w:rsidRDefault="00A6253F" w:rsidP="00FD6A6D">
      <w:pPr>
        <w:spacing w:after="0" w:line="276" w:lineRule="auto"/>
        <w:ind w:firstLine="720"/>
        <w:jc w:val="both"/>
        <w:rPr>
          <w:sz w:val="24"/>
          <w:szCs w:val="24"/>
        </w:rPr>
      </w:pPr>
      <w:r>
        <w:rPr>
          <w:sz w:val="24"/>
          <w:szCs w:val="24"/>
        </w:rPr>
        <w:t xml:space="preserve">Under socially acceptable risk approaches, by contrast, the level of protection pursued by regulators need </w:t>
      </w:r>
      <w:r w:rsidRPr="00E647E6">
        <w:rPr>
          <w:sz w:val="24"/>
          <w:szCs w:val="24"/>
        </w:rPr>
        <w:t>not</w:t>
      </w:r>
      <w:r w:rsidRPr="008064AE">
        <w:rPr>
          <w:sz w:val="24"/>
          <w:szCs w:val="24"/>
        </w:rPr>
        <w:t xml:space="preserve"> be cost-benefit effective; more than </w:t>
      </w:r>
      <w:r w:rsidR="00F87EF3" w:rsidRPr="008064AE">
        <w:rPr>
          <w:sz w:val="24"/>
          <w:szCs w:val="24"/>
        </w:rPr>
        <w:t>cost-benefit analysis</w:t>
      </w:r>
      <w:r w:rsidR="00F87EF3" w:rsidRPr="005E77F1">
        <w:rPr>
          <w:sz w:val="24"/>
          <w:szCs w:val="24"/>
        </w:rPr>
        <w:t xml:space="preserve"> </w:t>
      </w:r>
      <w:r w:rsidRPr="005E77F1">
        <w:rPr>
          <w:sz w:val="24"/>
          <w:szCs w:val="24"/>
        </w:rPr>
        <w:t xml:space="preserve">may be taken </w:t>
      </w:r>
      <w:r w:rsidRPr="005E77F1">
        <w:rPr>
          <w:sz w:val="24"/>
          <w:szCs w:val="24"/>
        </w:rPr>
        <w:lastRenderedPageBreak/>
        <w:t xml:space="preserve">into account </w:t>
      </w:r>
      <w:r w:rsidR="002462BB" w:rsidRPr="005E77F1">
        <w:rPr>
          <w:sz w:val="24"/>
          <w:szCs w:val="24"/>
        </w:rPr>
        <w:t>by risk managers</w:t>
      </w:r>
      <w:r w:rsidRPr="005E77F1">
        <w:rPr>
          <w:sz w:val="24"/>
          <w:szCs w:val="24"/>
        </w:rPr>
        <w:t>.</w:t>
      </w:r>
      <w:r w:rsidR="002462BB" w:rsidRPr="005E77F1">
        <w:rPr>
          <w:sz w:val="24"/>
          <w:szCs w:val="24"/>
        </w:rPr>
        <w:t xml:space="preserve"> Regulators may thus choose to </w:t>
      </w:r>
      <w:r w:rsidR="002462BB" w:rsidRPr="00E647E6">
        <w:rPr>
          <w:sz w:val="24"/>
          <w:szCs w:val="24"/>
        </w:rPr>
        <w:t>minimise</w:t>
      </w:r>
      <w:r w:rsidR="002462BB" w:rsidRPr="008064AE">
        <w:rPr>
          <w:sz w:val="24"/>
          <w:szCs w:val="24"/>
        </w:rPr>
        <w:t xml:space="preserve"> exposures to hazards or determine that </w:t>
      </w:r>
      <w:r w:rsidR="002462BB" w:rsidRPr="00E647E6">
        <w:rPr>
          <w:sz w:val="24"/>
          <w:szCs w:val="24"/>
        </w:rPr>
        <w:t>no level of exposure</w:t>
      </w:r>
      <w:r w:rsidR="002462BB">
        <w:rPr>
          <w:sz w:val="24"/>
          <w:szCs w:val="24"/>
        </w:rPr>
        <w:t xml:space="preserve"> can be deemed to be “safe”. This reflects the pursuit of </w:t>
      </w:r>
      <w:r w:rsidR="002462BB" w:rsidRPr="009B06E0">
        <w:rPr>
          <w:sz w:val="24"/>
          <w:szCs w:val="24"/>
        </w:rPr>
        <w:t>enhanced</w:t>
      </w:r>
      <w:r w:rsidR="002462BB">
        <w:rPr>
          <w:sz w:val="24"/>
          <w:szCs w:val="24"/>
        </w:rPr>
        <w:t xml:space="preserve"> levels of protection. </w:t>
      </w:r>
      <w:r w:rsidR="00915939">
        <w:rPr>
          <w:sz w:val="24"/>
          <w:szCs w:val="24"/>
        </w:rPr>
        <w:t xml:space="preserve">Qualitative </w:t>
      </w:r>
      <w:r w:rsidR="002462BB">
        <w:rPr>
          <w:sz w:val="24"/>
          <w:szCs w:val="24"/>
        </w:rPr>
        <w:t>OLFs, including socio-economic or distributional issues, may also be taken into consideration and feed into the setting of the intended level of protection</w:t>
      </w:r>
      <w:r w:rsidR="00C259D2">
        <w:rPr>
          <w:sz w:val="24"/>
          <w:szCs w:val="24"/>
        </w:rPr>
        <w:t xml:space="preserve"> and determination of the threshold of socially acceptable risk</w:t>
      </w:r>
      <w:r w:rsidR="002462BB">
        <w:rPr>
          <w:sz w:val="24"/>
          <w:szCs w:val="24"/>
        </w:rPr>
        <w:t>. Further, precautionary action may be warranted</w:t>
      </w:r>
      <w:r w:rsidR="00B723D0">
        <w:rPr>
          <w:sz w:val="24"/>
          <w:szCs w:val="24"/>
        </w:rPr>
        <w:t xml:space="preserve"> when, in the face of inconclusive or insufficient scientific evidence, a risk may be </w:t>
      </w:r>
      <w:r w:rsidR="00B723D0" w:rsidRPr="00E647E6">
        <w:rPr>
          <w:sz w:val="24"/>
          <w:szCs w:val="24"/>
        </w:rPr>
        <w:t>too high</w:t>
      </w:r>
      <w:r w:rsidR="00B723D0" w:rsidRPr="008064AE">
        <w:rPr>
          <w:sz w:val="24"/>
          <w:szCs w:val="24"/>
        </w:rPr>
        <w:t xml:space="preserve"> to meet the </w:t>
      </w:r>
      <w:r w:rsidR="00B723D0" w:rsidRPr="00E647E6">
        <w:rPr>
          <w:sz w:val="24"/>
          <w:szCs w:val="24"/>
        </w:rPr>
        <w:t>intended level of protection</w:t>
      </w:r>
      <w:r w:rsidR="00B723D0" w:rsidRPr="008064AE">
        <w:rPr>
          <w:sz w:val="24"/>
          <w:szCs w:val="24"/>
        </w:rPr>
        <w:t>.</w:t>
      </w:r>
      <w:r w:rsidR="00B723D0">
        <w:rPr>
          <w:sz w:val="24"/>
          <w:szCs w:val="24"/>
        </w:rPr>
        <w:t xml:space="preserve"> Elements such as OLFs, precaution and the pursuit of enhanced levels of protection are </w:t>
      </w:r>
      <w:r w:rsidR="00F87EF3">
        <w:rPr>
          <w:sz w:val="24"/>
          <w:szCs w:val="24"/>
        </w:rPr>
        <w:t>non</w:t>
      </w:r>
      <w:r w:rsidR="00B723D0" w:rsidRPr="00A2365F">
        <w:rPr>
          <w:sz w:val="24"/>
          <w:szCs w:val="24"/>
        </w:rPr>
        <w:t>-scientific</w:t>
      </w:r>
      <w:r w:rsidR="00B723D0">
        <w:rPr>
          <w:sz w:val="24"/>
          <w:szCs w:val="24"/>
        </w:rPr>
        <w:t xml:space="preserve"> in nature</w:t>
      </w:r>
      <w:r w:rsidR="009274C6">
        <w:rPr>
          <w:sz w:val="24"/>
          <w:szCs w:val="24"/>
        </w:rPr>
        <w:t>. However, the same is true of</w:t>
      </w:r>
      <w:r w:rsidR="00B723D0">
        <w:rPr>
          <w:sz w:val="24"/>
          <w:szCs w:val="24"/>
        </w:rPr>
        <w:t xml:space="preserve"> economic </w:t>
      </w:r>
      <w:r w:rsidR="00F87EF3">
        <w:rPr>
          <w:sz w:val="24"/>
          <w:szCs w:val="24"/>
        </w:rPr>
        <w:t xml:space="preserve">cost-benefit analysis </w:t>
      </w:r>
      <w:r w:rsidR="00B723D0">
        <w:rPr>
          <w:sz w:val="24"/>
          <w:szCs w:val="24"/>
        </w:rPr>
        <w:t>and the pursuit of a cost-benefit effective level of protection.</w:t>
      </w:r>
      <w:r w:rsidR="003900FD">
        <w:rPr>
          <w:sz w:val="24"/>
          <w:szCs w:val="24"/>
        </w:rPr>
        <w:t xml:space="preserve"> </w:t>
      </w:r>
    </w:p>
    <w:p w14:paraId="6A70B9A9" w14:textId="1116F514" w:rsidR="00F87EF3" w:rsidRDefault="00A2365F" w:rsidP="00AC3B2A">
      <w:pPr>
        <w:spacing w:after="0" w:line="276" w:lineRule="auto"/>
        <w:ind w:firstLine="720"/>
        <w:jc w:val="both"/>
        <w:rPr>
          <w:sz w:val="24"/>
          <w:szCs w:val="24"/>
        </w:rPr>
      </w:pPr>
      <w:r>
        <w:rPr>
          <w:sz w:val="24"/>
          <w:szCs w:val="24"/>
        </w:rPr>
        <w:t>On these grounds</w:t>
      </w:r>
      <w:r w:rsidR="00B723D0">
        <w:rPr>
          <w:sz w:val="24"/>
          <w:szCs w:val="24"/>
        </w:rPr>
        <w:t xml:space="preserve">, the determination of </w:t>
      </w:r>
      <w:r w:rsidR="00B723D0" w:rsidRPr="009B06E0">
        <w:rPr>
          <w:sz w:val="24"/>
          <w:szCs w:val="24"/>
        </w:rPr>
        <w:t>legally relevant adverse effects in the field of risk regulation is never</w:t>
      </w:r>
      <w:r w:rsidR="00B723D0">
        <w:rPr>
          <w:sz w:val="24"/>
          <w:szCs w:val="24"/>
        </w:rPr>
        <w:t xml:space="preserve"> a</w:t>
      </w:r>
      <w:r w:rsidR="00F87EF3">
        <w:rPr>
          <w:sz w:val="24"/>
          <w:szCs w:val="24"/>
        </w:rPr>
        <w:t xml:space="preserve"> mere scientific</w:t>
      </w:r>
      <w:r w:rsidR="00B723D0">
        <w:rPr>
          <w:sz w:val="24"/>
          <w:szCs w:val="24"/>
        </w:rPr>
        <w:t xml:space="preserve"> matter</w:t>
      </w:r>
      <w:r w:rsidR="00D13A7A">
        <w:rPr>
          <w:sz w:val="24"/>
          <w:szCs w:val="24"/>
        </w:rPr>
        <w:t xml:space="preserve">. </w:t>
      </w:r>
      <w:r w:rsidR="00004485">
        <w:rPr>
          <w:sz w:val="24"/>
          <w:szCs w:val="24"/>
        </w:rPr>
        <w:t>The narrative on sound science</w:t>
      </w:r>
      <w:r w:rsidR="00AC3B2A">
        <w:rPr>
          <w:sz w:val="24"/>
          <w:szCs w:val="24"/>
        </w:rPr>
        <w:t xml:space="preserve"> </w:t>
      </w:r>
      <w:r w:rsidR="00004485">
        <w:rPr>
          <w:sz w:val="24"/>
          <w:szCs w:val="24"/>
        </w:rPr>
        <w:t>disregards scientific pluralism</w:t>
      </w:r>
      <w:r w:rsidR="008B2FC7">
        <w:rPr>
          <w:sz w:val="24"/>
          <w:szCs w:val="24"/>
        </w:rPr>
        <w:t>, scientific complexity and different forms of</w:t>
      </w:r>
      <w:r w:rsidR="00004485">
        <w:rPr>
          <w:sz w:val="24"/>
          <w:szCs w:val="24"/>
        </w:rPr>
        <w:t xml:space="preserve"> </w:t>
      </w:r>
      <w:r w:rsidR="00004485" w:rsidRPr="00550869">
        <w:rPr>
          <w:sz w:val="24"/>
          <w:szCs w:val="24"/>
        </w:rPr>
        <w:t>scientific</w:t>
      </w:r>
      <w:r w:rsidR="00004485">
        <w:rPr>
          <w:sz w:val="24"/>
          <w:szCs w:val="24"/>
        </w:rPr>
        <w:t xml:space="preserve"> uncertainty</w:t>
      </w:r>
      <w:r w:rsidR="008B2FC7">
        <w:rPr>
          <w:sz w:val="24"/>
          <w:szCs w:val="24"/>
        </w:rPr>
        <w:t xml:space="preserve">, as if sound science </w:t>
      </w:r>
      <w:r w:rsidR="00754B04">
        <w:rPr>
          <w:sz w:val="24"/>
          <w:szCs w:val="24"/>
        </w:rPr>
        <w:t>were always bound to</w:t>
      </w:r>
      <w:r w:rsidR="008B2FC7">
        <w:rPr>
          <w:sz w:val="24"/>
          <w:szCs w:val="24"/>
        </w:rPr>
        <w:t xml:space="preserve"> </w:t>
      </w:r>
      <w:r w:rsidR="00754B04">
        <w:rPr>
          <w:sz w:val="24"/>
          <w:szCs w:val="24"/>
        </w:rPr>
        <w:t>provide</w:t>
      </w:r>
      <w:r w:rsidR="008B2FC7">
        <w:rPr>
          <w:sz w:val="24"/>
          <w:szCs w:val="24"/>
        </w:rPr>
        <w:t xml:space="preserve"> factually “correct” answers</w:t>
      </w:r>
      <w:r w:rsidR="009B06E0">
        <w:rPr>
          <w:sz w:val="24"/>
          <w:szCs w:val="24"/>
        </w:rPr>
        <w:t>.</w:t>
      </w:r>
      <w:r w:rsidR="005E77F1">
        <w:rPr>
          <w:sz w:val="24"/>
          <w:szCs w:val="24"/>
        </w:rPr>
        <w:t xml:space="preserve"> </w:t>
      </w:r>
      <w:r w:rsidR="008B2FC7">
        <w:rPr>
          <w:sz w:val="24"/>
          <w:szCs w:val="24"/>
        </w:rPr>
        <w:t>Further</w:t>
      </w:r>
      <w:r w:rsidR="005E77F1">
        <w:rPr>
          <w:sz w:val="24"/>
          <w:szCs w:val="24"/>
        </w:rPr>
        <w:t>, it</w:t>
      </w:r>
      <w:r w:rsidR="00004485">
        <w:rPr>
          <w:sz w:val="24"/>
          <w:szCs w:val="24"/>
        </w:rPr>
        <w:t xml:space="preserve"> obscures the </w:t>
      </w:r>
      <w:r w:rsidR="00004485" w:rsidRPr="00550869">
        <w:rPr>
          <w:i/>
          <w:iCs/>
          <w:sz w:val="24"/>
          <w:szCs w:val="24"/>
        </w:rPr>
        <w:t>normative frames</w:t>
      </w:r>
      <w:r w:rsidR="00004485">
        <w:rPr>
          <w:sz w:val="24"/>
          <w:szCs w:val="24"/>
        </w:rPr>
        <w:t xml:space="preserve"> through which science is assessed and evaluated. </w:t>
      </w:r>
      <w:r w:rsidR="00AC3B2A">
        <w:rPr>
          <w:sz w:val="24"/>
          <w:szCs w:val="24"/>
        </w:rPr>
        <w:t>The attack</w:t>
      </w:r>
      <w:r w:rsidR="008B2FC7">
        <w:rPr>
          <w:sz w:val="24"/>
          <w:szCs w:val="24"/>
        </w:rPr>
        <w:t>s</w:t>
      </w:r>
      <w:r w:rsidR="00AC3B2A">
        <w:rPr>
          <w:sz w:val="24"/>
          <w:szCs w:val="24"/>
        </w:rPr>
        <w:t xml:space="preserve"> on “political” factors like precaution and OLFs neglect the (direct or indirect) role of </w:t>
      </w:r>
      <w:r w:rsidR="00AC3B2A">
        <w:rPr>
          <w:i/>
          <w:iCs/>
          <w:sz w:val="24"/>
          <w:szCs w:val="24"/>
        </w:rPr>
        <w:t>non</w:t>
      </w:r>
      <w:r w:rsidR="00AC3B2A" w:rsidRPr="00915939">
        <w:rPr>
          <w:i/>
          <w:iCs/>
          <w:sz w:val="24"/>
          <w:szCs w:val="24"/>
        </w:rPr>
        <w:t>-scientific</w:t>
      </w:r>
      <w:r w:rsidR="00AC3B2A">
        <w:rPr>
          <w:sz w:val="24"/>
          <w:szCs w:val="24"/>
        </w:rPr>
        <w:t xml:space="preserve"> considerations surrounding cost-benefit effectiveness and the pursuit of a cost-benefit effective level of protection, under evidence-based models. </w:t>
      </w:r>
      <w:r w:rsidR="00F87EF3">
        <w:rPr>
          <w:sz w:val="24"/>
          <w:szCs w:val="24"/>
        </w:rPr>
        <w:t xml:space="preserve">Far from being neutral and objective, as illustrated in chapter three, </w:t>
      </w:r>
      <w:r w:rsidR="00004485">
        <w:rPr>
          <w:sz w:val="24"/>
          <w:szCs w:val="24"/>
        </w:rPr>
        <w:t xml:space="preserve">the assumption that sound science approaches </w:t>
      </w:r>
      <w:r w:rsidR="00004485" w:rsidRPr="00E647E6">
        <w:rPr>
          <w:i/>
          <w:iCs/>
          <w:sz w:val="24"/>
          <w:szCs w:val="24"/>
        </w:rPr>
        <w:t>must</w:t>
      </w:r>
      <w:r w:rsidR="00004485">
        <w:rPr>
          <w:sz w:val="24"/>
          <w:szCs w:val="24"/>
        </w:rPr>
        <w:t xml:space="preserve"> be adhered to and sound science </w:t>
      </w:r>
      <w:r w:rsidR="00004485" w:rsidRPr="00E647E6">
        <w:rPr>
          <w:i/>
          <w:iCs/>
          <w:sz w:val="24"/>
          <w:szCs w:val="24"/>
        </w:rPr>
        <w:t>must</w:t>
      </w:r>
      <w:r w:rsidR="00004485">
        <w:rPr>
          <w:sz w:val="24"/>
          <w:szCs w:val="24"/>
        </w:rPr>
        <w:t xml:space="preserve"> be relied on </w:t>
      </w:r>
      <w:r w:rsidR="005E77F1">
        <w:rPr>
          <w:sz w:val="24"/>
          <w:szCs w:val="24"/>
        </w:rPr>
        <w:t xml:space="preserve">is informed by considerations surrounding the </w:t>
      </w:r>
      <w:r w:rsidR="009B06E0">
        <w:rPr>
          <w:sz w:val="24"/>
          <w:szCs w:val="24"/>
        </w:rPr>
        <w:t xml:space="preserve">economic </w:t>
      </w:r>
      <w:r w:rsidR="005E77F1">
        <w:rPr>
          <w:sz w:val="24"/>
          <w:szCs w:val="24"/>
        </w:rPr>
        <w:t xml:space="preserve">cost-benefit effectiveness of risk regulation. </w:t>
      </w:r>
    </w:p>
    <w:p w14:paraId="4FE985A5" w14:textId="77777777" w:rsidR="008064AE" w:rsidRDefault="00A2365F" w:rsidP="00582702">
      <w:pPr>
        <w:spacing w:after="0" w:line="276" w:lineRule="auto"/>
        <w:ind w:firstLine="720"/>
        <w:jc w:val="both"/>
        <w:rPr>
          <w:sz w:val="24"/>
          <w:szCs w:val="24"/>
        </w:rPr>
      </w:pPr>
      <w:r>
        <w:rPr>
          <w:sz w:val="24"/>
          <w:szCs w:val="24"/>
        </w:rPr>
        <w:t xml:space="preserve">Against this overall backdrop, the conundrum of agricultural biotechnologies has become a lens through which to investigate the </w:t>
      </w:r>
      <w:r w:rsidRPr="009B06E0">
        <w:rPr>
          <w:sz w:val="24"/>
          <w:szCs w:val="24"/>
        </w:rPr>
        <w:t xml:space="preserve">political and social construction of narratives on uncertain risks and their governance. The enquiry into </w:t>
      </w:r>
      <w:r w:rsidR="000D6697" w:rsidRPr="009B06E0">
        <w:rPr>
          <w:sz w:val="24"/>
          <w:szCs w:val="24"/>
        </w:rPr>
        <w:t>the rationale</w:t>
      </w:r>
      <w:r w:rsidR="005E77F1" w:rsidRPr="009B06E0">
        <w:rPr>
          <w:sz w:val="24"/>
          <w:szCs w:val="24"/>
        </w:rPr>
        <w:t>s</w:t>
      </w:r>
      <w:r w:rsidR="000D6697" w:rsidRPr="009B06E0">
        <w:rPr>
          <w:sz w:val="24"/>
          <w:szCs w:val="24"/>
        </w:rPr>
        <w:t xml:space="preserve">, underlying value systems, goals and far-reaching implications </w:t>
      </w:r>
      <w:r w:rsidR="000D6697">
        <w:rPr>
          <w:sz w:val="24"/>
          <w:szCs w:val="24"/>
        </w:rPr>
        <w:t xml:space="preserve">of diametrically opposed evidence-based and socially acceptable risk discourses </w:t>
      </w:r>
      <w:r w:rsidR="0053667D">
        <w:rPr>
          <w:sz w:val="24"/>
          <w:szCs w:val="24"/>
        </w:rPr>
        <w:t xml:space="preserve">lies at the heart of the institutional analysis of this book. </w:t>
      </w:r>
    </w:p>
    <w:p w14:paraId="5C85A3D7" w14:textId="76816D95" w:rsidR="001567E8" w:rsidRDefault="000D6697" w:rsidP="00582702">
      <w:pPr>
        <w:spacing w:after="0" w:line="276" w:lineRule="auto"/>
        <w:ind w:firstLine="720"/>
        <w:jc w:val="both"/>
        <w:rPr>
          <w:sz w:val="24"/>
          <w:szCs w:val="24"/>
        </w:rPr>
      </w:pPr>
      <w:r>
        <w:rPr>
          <w:sz w:val="24"/>
          <w:szCs w:val="24"/>
        </w:rPr>
        <w:t xml:space="preserve">Chapter </w:t>
      </w:r>
      <w:r w:rsidR="005E77F1">
        <w:rPr>
          <w:sz w:val="24"/>
          <w:szCs w:val="24"/>
        </w:rPr>
        <w:t>three</w:t>
      </w:r>
      <w:r>
        <w:rPr>
          <w:sz w:val="24"/>
          <w:szCs w:val="24"/>
        </w:rPr>
        <w:t xml:space="preserve"> has deconstructed the hegemonic narrative on GE organisms and risk governance from within the US legal system</w:t>
      </w:r>
      <w:r w:rsidR="005E77F1">
        <w:rPr>
          <w:sz w:val="24"/>
          <w:szCs w:val="24"/>
        </w:rPr>
        <w:t>, highlighting the connections between</w:t>
      </w:r>
      <w:r w:rsidR="008064AE">
        <w:rPr>
          <w:sz w:val="24"/>
          <w:szCs w:val="24"/>
        </w:rPr>
        <w:t xml:space="preserve"> sound science approaches, adherence to sound science and the pursuit of an economically cost-benefit effective level of protection. </w:t>
      </w:r>
      <w:r>
        <w:rPr>
          <w:sz w:val="24"/>
          <w:szCs w:val="24"/>
        </w:rPr>
        <w:t xml:space="preserve">The analysis has </w:t>
      </w:r>
      <w:r w:rsidR="008064AE">
        <w:rPr>
          <w:sz w:val="24"/>
          <w:szCs w:val="24"/>
        </w:rPr>
        <w:t xml:space="preserve">underscored </w:t>
      </w:r>
      <w:r>
        <w:rPr>
          <w:sz w:val="24"/>
          <w:szCs w:val="24"/>
        </w:rPr>
        <w:t>the technocratic component of evidence-based discourses and</w:t>
      </w:r>
      <w:r w:rsidR="008064AE">
        <w:rPr>
          <w:sz w:val="24"/>
          <w:szCs w:val="24"/>
        </w:rPr>
        <w:t xml:space="preserve"> emphasised that </w:t>
      </w:r>
      <w:r>
        <w:rPr>
          <w:sz w:val="24"/>
          <w:szCs w:val="24"/>
        </w:rPr>
        <w:t xml:space="preserve">these approaches foster the exercise of individual, market access and trade-related rights. </w:t>
      </w:r>
      <w:r w:rsidR="001567E8">
        <w:rPr>
          <w:sz w:val="24"/>
          <w:szCs w:val="24"/>
        </w:rPr>
        <w:t>By focusing on aggregate wealth maximisation</w:t>
      </w:r>
      <w:r w:rsidR="009B06E0">
        <w:rPr>
          <w:sz w:val="24"/>
          <w:szCs w:val="24"/>
        </w:rPr>
        <w:t xml:space="preserve"> and by pursuing the </w:t>
      </w:r>
      <w:r w:rsidR="009B06E0" w:rsidRPr="009269C7">
        <w:rPr>
          <w:rFonts w:cs="Times New Roman"/>
          <w:sz w:val="24"/>
          <w:szCs w:val="24"/>
        </w:rPr>
        <w:t xml:space="preserve">greatest </w:t>
      </w:r>
      <w:r w:rsidR="009B06E0" w:rsidRPr="009B06E0">
        <w:rPr>
          <w:rFonts w:cs="Times New Roman"/>
          <w:sz w:val="24"/>
          <w:szCs w:val="24"/>
        </w:rPr>
        <w:t>net</w:t>
      </w:r>
      <w:r w:rsidR="009B06E0" w:rsidRPr="009269C7">
        <w:rPr>
          <w:rFonts w:cs="Times New Roman"/>
          <w:sz w:val="24"/>
          <w:szCs w:val="24"/>
        </w:rPr>
        <w:t xml:space="preserve"> beneficial </w:t>
      </w:r>
      <w:r w:rsidR="009B06E0" w:rsidRPr="009B06E0">
        <w:rPr>
          <w:rFonts w:cs="Times New Roman"/>
          <w:sz w:val="24"/>
          <w:szCs w:val="24"/>
        </w:rPr>
        <w:t>protection</w:t>
      </w:r>
      <w:r w:rsidR="009B06E0" w:rsidRPr="009269C7">
        <w:rPr>
          <w:rFonts w:cs="Times New Roman"/>
          <w:sz w:val="24"/>
          <w:szCs w:val="24"/>
        </w:rPr>
        <w:t xml:space="preserve"> of public health and the environment</w:t>
      </w:r>
      <w:r w:rsidR="001567E8">
        <w:rPr>
          <w:sz w:val="24"/>
          <w:szCs w:val="24"/>
        </w:rPr>
        <w:t>, evidence-based models yield considerable economic benefits</w:t>
      </w:r>
      <w:r w:rsidR="009B06E0">
        <w:rPr>
          <w:sz w:val="24"/>
          <w:szCs w:val="24"/>
        </w:rPr>
        <w:t>. H</w:t>
      </w:r>
      <w:r w:rsidR="001567E8">
        <w:rPr>
          <w:sz w:val="24"/>
          <w:szCs w:val="24"/>
        </w:rPr>
        <w:t xml:space="preserve">owever, as the thorny issue of coexistence clearly shows, they also neglect </w:t>
      </w:r>
      <w:r w:rsidR="008064AE">
        <w:rPr>
          <w:sz w:val="24"/>
          <w:szCs w:val="24"/>
        </w:rPr>
        <w:t xml:space="preserve">qualitative </w:t>
      </w:r>
      <w:r w:rsidR="006465A7">
        <w:rPr>
          <w:sz w:val="24"/>
          <w:szCs w:val="24"/>
        </w:rPr>
        <w:t>OLFs</w:t>
      </w:r>
      <w:r w:rsidR="001567E8">
        <w:rPr>
          <w:sz w:val="24"/>
          <w:szCs w:val="24"/>
        </w:rPr>
        <w:t xml:space="preserve">. </w:t>
      </w:r>
      <w:r>
        <w:rPr>
          <w:sz w:val="24"/>
          <w:szCs w:val="24"/>
        </w:rPr>
        <w:t xml:space="preserve">Further, </w:t>
      </w:r>
      <w:r w:rsidR="001567E8">
        <w:rPr>
          <w:sz w:val="24"/>
          <w:szCs w:val="24"/>
        </w:rPr>
        <w:t>the analysis</w:t>
      </w:r>
      <w:r>
        <w:rPr>
          <w:sz w:val="24"/>
          <w:szCs w:val="24"/>
        </w:rPr>
        <w:t xml:space="preserve"> has </w:t>
      </w:r>
      <w:r w:rsidR="00957295">
        <w:rPr>
          <w:sz w:val="24"/>
          <w:szCs w:val="24"/>
        </w:rPr>
        <w:t xml:space="preserve">shown that recourse to </w:t>
      </w:r>
      <w:r w:rsidR="008064AE">
        <w:rPr>
          <w:sz w:val="24"/>
          <w:szCs w:val="24"/>
        </w:rPr>
        <w:t xml:space="preserve">cost-benefit analysis </w:t>
      </w:r>
      <w:r w:rsidR="00957295">
        <w:rPr>
          <w:sz w:val="24"/>
          <w:szCs w:val="24"/>
        </w:rPr>
        <w:t>results in the identification of a baseline threshold of safety and</w:t>
      </w:r>
      <w:r w:rsidR="00582702">
        <w:rPr>
          <w:sz w:val="24"/>
          <w:szCs w:val="24"/>
        </w:rPr>
        <w:t xml:space="preserve"> the</w:t>
      </w:r>
      <w:r w:rsidR="00957295">
        <w:rPr>
          <w:sz w:val="24"/>
          <w:szCs w:val="24"/>
        </w:rPr>
        <w:t xml:space="preserve"> pursuit of a baseline </w:t>
      </w:r>
      <w:r w:rsidR="00D8055B">
        <w:rPr>
          <w:sz w:val="24"/>
          <w:szCs w:val="24"/>
        </w:rPr>
        <w:t xml:space="preserve">(as opposed to enhanced) </w:t>
      </w:r>
      <w:r w:rsidR="00957295">
        <w:rPr>
          <w:sz w:val="24"/>
          <w:szCs w:val="24"/>
        </w:rPr>
        <w:t>level of protection</w:t>
      </w:r>
      <w:r w:rsidR="00D8055B">
        <w:rPr>
          <w:sz w:val="24"/>
          <w:szCs w:val="24"/>
        </w:rPr>
        <w:t>. T</w:t>
      </w:r>
      <w:r w:rsidR="00957295">
        <w:rPr>
          <w:sz w:val="24"/>
          <w:szCs w:val="24"/>
        </w:rPr>
        <w:t>h</w:t>
      </w:r>
      <w:r w:rsidR="003E1860">
        <w:rPr>
          <w:sz w:val="24"/>
          <w:szCs w:val="24"/>
        </w:rPr>
        <w:t>ese</w:t>
      </w:r>
      <w:r w:rsidR="00957295">
        <w:rPr>
          <w:sz w:val="24"/>
          <w:szCs w:val="24"/>
        </w:rPr>
        <w:t xml:space="preserve">, however, </w:t>
      </w:r>
      <w:r w:rsidR="003E1860">
        <w:rPr>
          <w:sz w:val="24"/>
          <w:szCs w:val="24"/>
        </w:rPr>
        <w:t>are determined</w:t>
      </w:r>
      <w:r w:rsidR="00957295">
        <w:rPr>
          <w:sz w:val="24"/>
          <w:szCs w:val="24"/>
        </w:rPr>
        <w:t xml:space="preserve"> by taking </w:t>
      </w:r>
      <w:r w:rsidR="00D8055B">
        <w:rPr>
          <w:sz w:val="24"/>
          <w:szCs w:val="24"/>
        </w:rPr>
        <w:t xml:space="preserve">a </w:t>
      </w:r>
      <w:r w:rsidR="00957295">
        <w:rPr>
          <w:sz w:val="24"/>
          <w:szCs w:val="24"/>
        </w:rPr>
        <w:t xml:space="preserve">sound </w:t>
      </w:r>
      <w:r w:rsidR="00D8055B">
        <w:rPr>
          <w:sz w:val="24"/>
          <w:szCs w:val="24"/>
        </w:rPr>
        <w:t>scientific evidence base</w:t>
      </w:r>
      <w:r w:rsidR="003E1860">
        <w:rPr>
          <w:sz w:val="24"/>
          <w:szCs w:val="24"/>
        </w:rPr>
        <w:t xml:space="preserve"> into account</w:t>
      </w:r>
      <w:r w:rsidR="00D8055B">
        <w:rPr>
          <w:sz w:val="24"/>
          <w:szCs w:val="24"/>
        </w:rPr>
        <w:t xml:space="preserve">; on these grounds, </w:t>
      </w:r>
      <w:r w:rsidR="003E1860">
        <w:rPr>
          <w:sz w:val="24"/>
          <w:szCs w:val="24"/>
        </w:rPr>
        <w:t xml:space="preserve">reliance on sound science and the application of </w:t>
      </w:r>
      <w:r w:rsidR="008064AE">
        <w:rPr>
          <w:sz w:val="24"/>
          <w:szCs w:val="24"/>
        </w:rPr>
        <w:t xml:space="preserve">cost-benefit analysis </w:t>
      </w:r>
      <w:r w:rsidR="00D8055B">
        <w:rPr>
          <w:sz w:val="24"/>
          <w:szCs w:val="24"/>
        </w:rPr>
        <w:t>are</w:t>
      </w:r>
      <w:r w:rsidR="00C60D92">
        <w:rPr>
          <w:sz w:val="24"/>
          <w:szCs w:val="24"/>
        </w:rPr>
        <w:t xml:space="preserve"> </w:t>
      </w:r>
      <w:r w:rsidR="003E1860">
        <w:rPr>
          <w:sz w:val="24"/>
          <w:szCs w:val="24"/>
        </w:rPr>
        <w:t>liable to underestimate uncertain risks and their effects.</w:t>
      </w:r>
      <w:r w:rsidR="00D8055B">
        <w:rPr>
          <w:rStyle w:val="Rimandonotaapidipagina"/>
          <w:sz w:val="24"/>
          <w:szCs w:val="24"/>
        </w:rPr>
        <w:footnoteReference w:id="6"/>
      </w:r>
      <w:r w:rsidR="003E1860">
        <w:rPr>
          <w:sz w:val="24"/>
          <w:szCs w:val="24"/>
        </w:rPr>
        <w:t xml:space="preserve"> </w:t>
      </w:r>
    </w:p>
    <w:p w14:paraId="01570C7C" w14:textId="77777777" w:rsidR="00582702" w:rsidRDefault="003E1860" w:rsidP="00582702">
      <w:pPr>
        <w:spacing w:after="0" w:line="276" w:lineRule="auto"/>
        <w:ind w:firstLine="720"/>
        <w:jc w:val="both"/>
        <w:rPr>
          <w:sz w:val="24"/>
          <w:szCs w:val="24"/>
        </w:rPr>
      </w:pPr>
      <w:r>
        <w:rPr>
          <w:sz w:val="24"/>
          <w:szCs w:val="24"/>
        </w:rPr>
        <w:t xml:space="preserve">Chapter </w:t>
      </w:r>
      <w:r w:rsidR="008064AE">
        <w:rPr>
          <w:sz w:val="24"/>
          <w:szCs w:val="24"/>
        </w:rPr>
        <w:t>four has</w:t>
      </w:r>
      <w:r>
        <w:rPr>
          <w:sz w:val="24"/>
          <w:szCs w:val="24"/>
        </w:rPr>
        <w:t xml:space="preserve"> turned to the counter-hegemonic narrative on agricultural biotechnologies and risk regulation, deconstructing it within the EU legal order and across the </w:t>
      </w:r>
      <w:r>
        <w:rPr>
          <w:sz w:val="24"/>
          <w:szCs w:val="24"/>
        </w:rPr>
        <w:lastRenderedPageBreak/>
        <w:t xml:space="preserve">EU and Member State levels. The analysis </w:t>
      </w:r>
      <w:r w:rsidR="008064AE">
        <w:rPr>
          <w:sz w:val="24"/>
          <w:szCs w:val="24"/>
        </w:rPr>
        <w:t xml:space="preserve">has </w:t>
      </w:r>
      <w:r>
        <w:rPr>
          <w:sz w:val="24"/>
          <w:szCs w:val="24"/>
        </w:rPr>
        <w:t xml:space="preserve">shed light on the </w:t>
      </w:r>
      <w:r w:rsidR="00DA259B">
        <w:rPr>
          <w:sz w:val="24"/>
          <w:szCs w:val="24"/>
        </w:rPr>
        <w:t>central</w:t>
      </w:r>
      <w:r>
        <w:rPr>
          <w:sz w:val="24"/>
          <w:szCs w:val="24"/>
        </w:rPr>
        <w:t xml:space="preserve"> elements, implications and overarching goals of the counter-hegemonic narrative and socially acceptable risk discourses.</w:t>
      </w:r>
      <w:r w:rsidR="001567E8">
        <w:rPr>
          <w:sz w:val="24"/>
          <w:szCs w:val="24"/>
        </w:rPr>
        <w:t xml:space="preserve"> </w:t>
      </w:r>
    </w:p>
    <w:p w14:paraId="2983DB0B" w14:textId="77777777" w:rsidR="00582702" w:rsidRDefault="003E1860" w:rsidP="00582702">
      <w:pPr>
        <w:spacing w:after="0" w:line="276" w:lineRule="auto"/>
        <w:ind w:firstLine="720"/>
        <w:jc w:val="both"/>
        <w:rPr>
          <w:sz w:val="24"/>
          <w:szCs w:val="24"/>
        </w:rPr>
      </w:pPr>
      <w:r>
        <w:rPr>
          <w:sz w:val="24"/>
          <w:szCs w:val="24"/>
        </w:rPr>
        <w:t xml:space="preserve">Chapter </w:t>
      </w:r>
      <w:r w:rsidR="008064AE">
        <w:rPr>
          <w:sz w:val="24"/>
          <w:szCs w:val="24"/>
        </w:rPr>
        <w:t>five has</w:t>
      </w:r>
      <w:r>
        <w:rPr>
          <w:sz w:val="24"/>
          <w:szCs w:val="24"/>
        </w:rPr>
        <w:t xml:space="preserve"> moved on</w:t>
      </w:r>
      <w:r w:rsidR="004F170B">
        <w:rPr>
          <w:sz w:val="24"/>
          <w:szCs w:val="24"/>
        </w:rPr>
        <w:t xml:space="preserve"> to</w:t>
      </w:r>
      <w:r>
        <w:rPr>
          <w:sz w:val="24"/>
          <w:szCs w:val="24"/>
        </w:rPr>
        <w:t xml:space="preserve"> the WTO legal system, deconstructing the rationale of the hegemonic narrative by </w:t>
      </w:r>
      <w:r w:rsidR="00DA259B">
        <w:rPr>
          <w:sz w:val="24"/>
          <w:szCs w:val="24"/>
        </w:rPr>
        <w:t>focusing on</w:t>
      </w:r>
      <w:r w:rsidR="00F73B4E">
        <w:rPr>
          <w:sz w:val="24"/>
          <w:szCs w:val="24"/>
        </w:rPr>
        <w:t xml:space="preserve"> </w:t>
      </w:r>
      <w:r w:rsidR="00DA259B" w:rsidRPr="00DE02D0">
        <w:rPr>
          <w:i/>
          <w:iCs/>
          <w:sz w:val="24"/>
          <w:szCs w:val="24"/>
        </w:rPr>
        <w:t>EC – Biotech</w:t>
      </w:r>
      <w:r w:rsidR="00DA259B">
        <w:rPr>
          <w:i/>
          <w:iCs/>
          <w:sz w:val="24"/>
          <w:szCs w:val="24"/>
        </w:rPr>
        <w:t xml:space="preserve"> </w:t>
      </w:r>
      <w:r w:rsidR="00DA259B">
        <w:rPr>
          <w:sz w:val="24"/>
          <w:szCs w:val="24"/>
        </w:rPr>
        <w:t>and the specific</w:t>
      </w:r>
      <w:r>
        <w:rPr>
          <w:sz w:val="24"/>
          <w:szCs w:val="24"/>
        </w:rPr>
        <w:t xml:space="preserve"> interpretation and application of</w:t>
      </w:r>
      <w:r w:rsidR="00DE02D0">
        <w:rPr>
          <w:sz w:val="24"/>
          <w:szCs w:val="24"/>
        </w:rPr>
        <w:t xml:space="preserve"> the SPS Agreement</w:t>
      </w:r>
      <w:r w:rsidR="00D8055B">
        <w:rPr>
          <w:sz w:val="24"/>
          <w:szCs w:val="24"/>
        </w:rPr>
        <w:t xml:space="preserve"> by the WTO dispute settlement organs</w:t>
      </w:r>
      <w:r w:rsidR="00DE02D0">
        <w:rPr>
          <w:sz w:val="24"/>
          <w:szCs w:val="24"/>
        </w:rPr>
        <w:t>. This chapter has shown that</w:t>
      </w:r>
      <w:r w:rsidR="008064AE">
        <w:rPr>
          <w:sz w:val="24"/>
          <w:szCs w:val="24"/>
        </w:rPr>
        <w:t xml:space="preserve">, in the absence of any self-standing criteria of “pure” science, </w:t>
      </w:r>
      <w:r w:rsidR="00D8055B">
        <w:rPr>
          <w:sz w:val="24"/>
          <w:szCs w:val="24"/>
        </w:rPr>
        <w:t xml:space="preserve">the application of </w:t>
      </w:r>
      <w:r w:rsidR="008064AE">
        <w:rPr>
          <w:sz w:val="24"/>
          <w:szCs w:val="24"/>
        </w:rPr>
        <w:t xml:space="preserve">lato and stricto sensu de novo review draws on the mere acknowledgment that deferential procedural review would </w:t>
      </w:r>
      <w:r w:rsidR="008064AE" w:rsidRPr="0038692D">
        <w:rPr>
          <w:sz w:val="24"/>
          <w:szCs w:val="24"/>
        </w:rPr>
        <w:t xml:space="preserve">afford Members the opportunity to defend virtually </w:t>
      </w:r>
      <w:r w:rsidR="008064AE" w:rsidRPr="008064AE">
        <w:rPr>
          <w:i/>
          <w:iCs/>
          <w:sz w:val="24"/>
          <w:szCs w:val="24"/>
        </w:rPr>
        <w:t>any</w:t>
      </w:r>
      <w:r w:rsidR="008064AE" w:rsidRPr="0038692D">
        <w:rPr>
          <w:sz w:val="24"/>
          <w:szCs w:val="24"/>
        </w:rPr>
        <w:t xml:space="preserve"> SPS measure</w:t>
      </w:r>
      <w:r w:rsidR="008064AE">
        <w:rPr>
          <w:sz w:val="24"/>
          <w:szCs w:val="24"/>
        </w:rPr>
        <w:t>.</w:t>
      </w:r>
      <w:r w:rsidR="008064AE" w:rsidRPr="0038692D">
        <w:rPr>
          <w:sz w:val="24"/>
          <w:szCs w:val="24"/>
        </w:rPr>
        <w:t xml:space="preserve"> This</w:t>
      </w:r>
      <w:r w:rsidR="008064AE">
        <w:rPr>
          <w:sz w:val="24"/>
          <w:szCs w:val="24"/>
        </w:rPr>
        <w:t>, however,</w:t>
      </w:r>
      <w:r w:rsidR="008064AE" w:rsidRPr="0038692D">
        <w:rPr>
          <w:sz w:val="24"/>
          <w:szCs w:val="24"/>
        </w:rPr>
        <w:t xml:space="preserve"> would be irreconcilable with the rationale and overarching goal of WTO law, </w:t>
      </w:r>
      <w:r w:rsidR="008064AE">
        <w:rPr>
          <w:sz w:val="24"/>
          <w:szCs w:val="24"/>
        </w:rPr>
        <w:t xml:space="preserve">i.e. </w:t>
      </w:r>
      <w:r w:rsidR="008064AE" w:rsidRPr="0038692D">
        <w:rPr>
          <w:sz w:val="24"/>
          <w:szCs w:val="24"/>
        </w:rPr>
        <w:t>trade liberalisation</w:t>
      </w:r>
      <w:r w:rsidR="00A231AF">
        <w:rPr>
          <w:sz w:val="24"/>
          <w:szCs w:val="24"/>
        </w:rPr>
        <w:t>. I</w:t>
      </w:r>
      <w:r w:rsidR="008064AE">
        <w:rPr>
          <w:sz w:val="24"/>
          <w:szCs w:val="24"/>
        </w:rPr>
        <w:t>n other words,</w:t>
      </w:r>
      <w:r w:rsidR="008064AE" w:rsidRPr="0038692D">
        <w:rPr>
          <w:sz w:val="24"/>
          <w:szCs w:val="24"/>
        </w:rPr>
        <w:t xml:space="preserve"> </w:t>
      </w:r>
      <w:r w:rsidR="008064AE">
        <w:rPr>
          <w:sz w:val="24"/>
          <w:szCs w:val="24"/>
        </w:rPr>
        <w:t>it</w:t>
      </w:r>
      <w:r w:rsidR="008064AE" w:rsidRPr="0038692D">
        <w:rPr>
          <w:sz w:val="24"/>
          <w:szCs w:val="24"/>
        </w:rPr>
        <w:t xml:space="preserve"> </w:t>
      </w:r>
      <w:r w:rsidR="008064AE">
        <w:rPr>
          <w:sz w:val="24"/>
          <w:szCs w:val="24"/>
        </w:rPr>
        <w:t>would undermine</w:t>
      </w:r>
      <w:r w:rsidR="008064AE" w:rsidRPr="0038692D">
        <w:rPr>
          <w:sz w:val="24"/>
          <w:szCs w:val="24"/>
        </w:rPr>
        <w:t xml:space="preserve"> any attempt at transnational regulatory convergence in SPS regulation. </w:t>
      </w:r>
      <w:r w:rsidR="008064AE">
        <w:rPr>
          <w:sz w:val="24"/>
          <w:szCs w:val="24"/>
        </w:rPr>
        <w:t>This casts</w:t>
      </w:r>
      <w:r w:rsidR="008064AE" w:rsidRPr="0038692D">
        <w:rPr>
          <w:sz w:val="24"/>
          <w:szCs w:val="24"/>
        </w:rPr>
        <w:t xml:space="preserve"> further light on the implications of the evidence-based narrative on GE organisms, and risk governance more generally. </w:t>
      </w:r>
      <w:r w:rsidR="008064AE">
        <w:rPr>
          <w:sz w:val="24"/>
          <w:szCs w:val="24"/>
        </w:rPr>
        <w:t>Not only do e</w:t>
      </w:r>
      <w:r w:rsidR="008064AE" w:rsidRPr="0038692D">
        <w:rPr>
          <w:sz w:val="24"/>
          <w:szCs w:val="24"/>
        </w:rPr>
        <w:t>vidence-based approaches, as illustrated in the third chapter,</w:t>
      </w:r>
      <w:r w:rsidR="008064AE">
        <w:rPr>
          <w:sz w:val="24"/>
          <w:szCs w:val="24"/>
        </w:rPr>
        <w:t xml:space="preserve"> </w:t>
      </w:r>
      <w:r w:rsidR="008064AE" w:rsidRPr="0038692D">
        <w:rPr>
          <w:sz w:val="24"/>
          <w:szCs w:val="24"/>
        </w:rPr>
        <w:t>pursue aggregate wealth maximisation and facilitate the exercise of individual trade rights</w:t>
      </w:r>
      <w:r w:rsidR="00582702">
        <w:rPr>
          <w:sz w:val="24"/>
          <w:szCs w:val="24"/>
        </w:rPr>
        <w:t>. A</w:t>
      </w:r>
      <w:r w:rsidR="008064AE" w:rsidRPr="0038692D">
        <w:rPr>
          <w:sz w:val="24"/>
          <w:szCs w:val="24"/>
        </w:rPr>
        <w:t xml:space="preserve">s </w:t>
      </w:r>
      <w:r w:rsidR="00A231AF">
        <w:rPr>
          <w:sz w:val="24"/>
          <w:szCs w:val="24"/>
        </w:rPr>
        <w:t>the fifth</w:t>
      </w:r>
      <w:r w:rsidR="008064AE" w:rsidRPr="0038692D">
        <w:rPr>
          <w:sz w:val="24"/>
          <w:szCs w:val="24"/>
        </w:rPr>
        <w:t xml:space="preserve"> chapter shows, they are also linked to transnational regulatory convergence and trade liberalisation. This is the double economic dividend referred to in the introductory chapter.</w:t>
      </w:r>
      <w:r w:rsidR="008064AE">
        <w:rPr>
          <w:sz w:val="24"/>
          <w:szCs w:val="24"/>
        </w:rPr>
        <w:t xml:space="preserve"> </w:t>
      </w:r>
    </w:p>
    <w:p w14:paraId="3A17A4A0" w14:textId="55DD654B" w:rsidR="00D13A7A" w:rsidRDefault="001567E8" w:rsidP="00582702">
      <w:pPr>
        <w:spacing w:after="0" w:line="276" w:lineRule="auto"/>
        <w:ind w:firstLine="720"/>
        <w:jc w:val="both"/>
        <w:rPr>
          <w:sz w:val="24"/>
          <w:szCs w:val="24"/>
        </w:rPr>
      </w:pPr>
      <w:r>
        <w:rPr>
          <w:rFonts w:cs="Times New Roman"/>
          <w:sz w:val="24"/>
          <w:szCs w:val="24"/>
        </w:rPr>
        <w:t xml:space="preserve">Finally, chapter </w:t>
      </w:r>
      <w:r w:rsidR="008064AE">
        <w:rPr>
          <w:rFonts w:cs="Times New Roman"/>
          <w:sz w:val="24"/>
          <w:szCs w:val="24"/>
        </w:rPr>
        <w:t>six has</w:t>
      </w:r>
      <w:r>
        <w:rPr>
          <w:rFonts w:cs="Times New Roman"/>
          <w:sz w:val="24"/>
          <w:szCs w:val="24"/>
        </w:rPr>
        <w:t xml:space="preserve"> engaged in an analysis of hybrid regulatory standards enacted by beyond-the-state actors. The </w:t>
      </w:r>
      <w:r w:rsidR="00DA259B">
        <w:rPr>
          <w:rFonts w:cs="Times New Roman"/>
          <w:sz w:val="24"/>
          <w:szCs w:val="24"/>
        </w:rPr>
        <w:t>enquiry into</w:t>
      </w:r>
      <w:r w:rsidR="00EB39B9">
        <w:rPr>
          <w:rFonts w:cs="Times New Roman"/>
          <w:sz w:val="24"/>
          <w:szCs w:val="24"/>
        </w:rPr>
        <w:t xml:space="preserve"> the</w:t>
      </w:r>
      <w:r>
        <w:rPr>
          <w:rFonts w:cs="Times New Roman"/>
          <w:sz w:val="24"/>
          <w:szCs w:val="24"/>
        </w:rPr>
        <w:t xml:space="preserve"> Codex’s standards confirmed the linkage between </w:t>
      </w:r>
      <w:r w:rsidR="00DA259B">
        <w:rPr>
          <w:rFonts w:cs="Times New Roman"/>
          <w:sz w:val="24"/>
          <w:szCs w:val="24"/>
        </w:rPr>
        <w:t>the hegemonic narrative and evidence-based risk governance, on the one hand, and trade liberalisation, on the other. The examination of regulatory standards enacted by no</w:t>
      </w:r>
      <w:r w:rsidR="00CF05DD">
        <w:rPr>
          <w:rFonts w:cs="Times New Roman"/>
          <w:sz w:val="24"/>
          <w:szCs w:val="24"/>
        </w:rPr>
        <w:t>n</w:t>
      </w:r>
      <w:r w:rsidR="00DA259B">
        <w:rPr>
          <w:rFonts w:cs="Times New Roman"/>
          <w:sz w:val="24"/>
          <w:szCs w:val="24"/>
        </w:rPr>
        <w:t xml:space="preserve">-profit NGOs, by contrast, </w:t>
      </w:r>
      <w:r w:rsidR="00E0020F">
        <w:rPr>
          <w:rFonts w:cs="Times New Roman"/>
          <w:sz w:val="24"/>
          <w:szCs w:val="24"/>
        </w:rPr>
        <w:t>has</w:t>
      </w:r>
      <w:r w:rsidR="00DA259B">
        <w:rPr>
          <w:rFonts w:cs="Times New Roman"/>
          <w:sz w:val="24"/>
          <w:szCs w:val="24"/>
        </w:rPr>
        <w:t xml:space="preserve"> put</w:t>
      </w:r>
      <w:r w:rsidR="00E0020F">
        <w:rPr>
          <w:rFonts w:cs="Times New Roman"/>
          <w:sz w:val="24"/>
          <w:szCs w:val="24"/>
        </w:rPr>
        <w:t xml:space="preserve"> the counter-hegemonic narrative and </w:t>
      </w:r>
      <w:r w:rsidR="00DA259B">
        <w:rPr>
          <w:rFonts w:cs="Times New Roman"/>
          <w:sz w:val="24"/>
          <w:szCs w:val="24"/>
        </w:rPr>
        <w:t xml:space="preserve"> distributional stakes back at the centre of the analysis.</w:t>
      </w:r>
    </w:p>
    <w:p w14:paraId="6E5F3DA4" w14:textId="72B4245B" w:rsidR="003E1860" w:rsidRDefault="0000717E" w:rsidP="00582702">
      <w:pPr>
        <w:spacing w:after="0" w:line="276" w:lineRule="auto"/>
        <w:ind w:firstLine="720"/>
        <w:jc w:val="both"/>
        <w:rPr>
          <w:sz w:val="24"/>
          <w:szCs w:val="24"/>
        </w:rPr>
      </w:pPr>
      <w:r>
        <w:rPr>
          <w:sz w:val="24"/>
          <w:szCs w:val="24"/>
        </w:rPr>
        <w:t>As the institutional analysis of the book has shown, t</w:t>
      </w:r>
      <w:r w:rsidR="00DA259B">
        <w:rPr>
          <w:sz w:val="24"/>
          <w:szCs w:val="24"/>
        </w:rPr>
        <w:t>he hegemonic and counter-hegemonic narrative</w:t>
      </w:r>
      <w:r w:rsidR="002347C7">
        <w:rPr>
          <w:sz w:val="24"/>
          <w:szCs w:val="24"/>
        </w:rPr>
        <w:t>s</w:t>
      </w:r>
      <w:r w:rsidR="00DA259B">
        <w:rPr>
          <w:sz w:val="24"/>
          <w:szCs w:val="24"/>
        </w:rPr>
        <w:t xml:space="preserve"> on agricultural biotechnologies reflect different </w:t>
      </w:r>
      <w:r w:rsidR="005D1FCE">
        <w:rPr>
          <w:sz w:val="24"/>
          <w:szCs w:val="24"/>
        </w:rPr>
        <w:t xml:space="preserve">value systems, the pursuit of different goals and a different balance between individual and collective interests. </w:t>
      </w:r>
      <w:r w:rsidR="005D1FCE" w:rsidRPr="00A231AF">
        <w:rPr>
          <w:sz w:val="24"/>
          <w:szCs w:val="24"/>
        </w:rPr>
        <w:t>Neither</w:t>
      </w:r>
      <w:r w:rsidR="005D1FCE">
        <w:rPr>
          <w:sz w:val="24"/>
          <w:szCs w:val="24"/>
        </w:rPr>
        <w:t xml:space="preserve"> evidence-based </w:t>
      </w:r>
      <w:r w:rsidR="005D1FCE" w:rsidRPr="00A231AF">
        <w:rPr>
          <w:sz w:val="24"/>
          <w:szCs w:val="24"/>
        </w:rPr>
        <w:t>nor</w:t>
      </w:r>
      <w:r w:rsidR="005D1FCE">
        <w:rPr>
          <w:sz w:val="24"/>
          <w:szCs w:val="24"/>
        </w:rPr>
        <w:t xml:space="preserve"> socially acceptable risk approaches can lay claim to neutrality or objectivity</w:t>
      </w:r>
      <w:r w:rsidR="00A231AF">
        <w:rPr>
          <w:sz w:val="24"/>
          <w:szCs w:val="24"/>
        </w:rPr>
        <w:t>. R</w:t>
      </w:r>
      <w:r>
        <w:rPr>
          <w:sz w:val="24"/>
          <w:szCs w:val="24"/>
        </w:rPr>
        <w:t xml:space="preserve">ather, they are informed by different normative frames and </w:t>
      </w:r>
      <w:r w:rsidR="00D8055B">
        <w:rPr>
          <w:sz w:val="24"/>
          <w:szCs w:val="24"/>
        </w:rPr>
        <w:t xml:space="preserve">are </w:t>
      </w:r>
      <w:r w:rsidR="005D1FCE">
        <w:rPr>
          <w:sz w:val="24"/>
          <w:szCs w:val="24"/>
        </w:rPr>
        <w:t xml:space="preserve">associated with different advantages and disadvantages. Ultimately, the hegemonic narrative on GE organisms and risk regulation </w:t>
      </w:r>
      <w:r w:rsidR="005D1FCE" w:rsidRPr="005D1FCE">
        <w:rPr>
          <w:i/>
          <w:iCs/>
          <w:sz w:val="24"/>
          <w:szCs w:val="24"/>
        </w:rPr>
        <w:t>is</w:t>
      </w:r>
      <w:r w:rsidR="005D1FCE">
        <w:rPr>
          <w:sz w:val="24"/>
          <w:szCs w:val="24"/>
        </w:rPr>
        <w:t xml:space="preserve"> hegemonic </w:t>
      </w:r>
      <w:r w:rsidR="005D1FCE" w:rsidRPr="005D1FCE">
        <w:rPr>
          <w:i/>
          <w:iCs/>
          <w:sz w:val="24"/>
          <w:szCs w:val="24"/>
        </w:rPr>
        <w:t>because</w:t>
      </w:r>
      <w:r w:rsidR="005D1FCE">
        <w:rPr>
          <w:sz w:val="24"/>
          <w:szCs w:val="24"/>
        </w:rPr>
        <w:t xml:space="preserve"> </w:t>
      </w:r>
      <w:r w:rsidR="008D0850">
        <w:rPr>
          <w:sz w:val="24"/>
          <w:szCs w:val="24"/>
        </w:rPr>
        <w:t>the application of evidence-based approaches</w:t>
      </w:r>
      <w:r w:rsidR="005D1FCE">
        <w:rPr>
          <w:sz w:val="24"/>
          <w:szCs w:val="24"/>
        </w:rPr>
        <w:t xml:space="preserve"> </w:t>
      </w:r>
      <w:r w:rsidR="00E1662C">
        <w:rPr>
          <w:sz w:val="24"/>
          <w:szCs w:val="24"/>
        </w:rPr>
        <w:t xml:space="preserve">maximises aggregate wealth, </w:t>
      </w:r>
      <w:r w:rsidR="008D0850">
        <w:rPr>
          <w:sz w:val="24"/>
          <w:szCs w:val="24"/>
        </w:rPr>
        <w:t>facilitates transnational regulatory convergence</w:t>
      </w:r>
      <w:r w:rsidR="00A231AF">
        <w:rPr>
          <w:sz w:val="24"/>
          <w:szCs w:val="24"/>
        </w:rPr>
        <w:t>,</w:t>
      </w:r>
      <w:r w:rsidR="008D0850">
        <w:rPr>
          <w:sz w:val="24"/>
          <w:szCs w:val="24"/>
        </w:rPr>
        <w:t xml:space="preserve"> and fosters trade liberalisation. Con</w:t>
      </w:r>
      <w:r w:rsidR="002347C7">
        <w:rPr>
          <w:sz w:val="24"/>
          <w:szCs w:val="24"/>
        </w:rPr>
        <w:t>sequently</w:t>
      </w:r>
      <w:r w:rsidR="008D0850">
        <w:rPr>
          <w:sz w:val="24"/>
          <w:szCs w:val="24"/>
        </w:rPr>
        <w:t>, the counter-hegemonic narrative is destined to remain counter-hegemonic.</w:t>
      </w:r>
    </w:p>
    <w:p w14:paraId="2E0E0BEB" w14:textId="74F0A17C" w:rsidR="00C415A5" w:rsidRDefault="002347C7" w:rsidP="00582702">
      <w:pPr>
        <w:spacing w:after="0" w:line="276" w:lineRule="auto"/>
        <w:ind w:firstLine="720"/>
        <w:jc w:val="both"/>
        <w:rPr>
          <w:sz w:val="24"/>
          <w:szCs w:val="24"/>
        </w:rPr>
      </w:pPr>
      <w:r w:rsidRPr="00C415A5">
        <w:rPr>
          <w:sz w:val="24"/>
          <w:szCs w:val="24"/>
        </w:rPr>
        <w:t>The message of this book</w:t>
      </w:r>
      <w:r w:rsidR="002554FE" w:rsidRPr="00C415A5">
        <w:rPr>
          <w:sz w:val="24"/>
          <w:szCs w:val="24"/>
        </w:rPr>
        <w:t xml:space="preserve"> is </w:t>
      </w:r>
      <w:r w:rsidR="00C415A5" w:rsidRPr="00C415A5">
        <w:rPr>
          <w:sz w:val="24"/>
          <w:szCs w:val="24"/>
        </w:rPr>
        <w:t>not</w:t>
      </w:r>
      <w:r w:rsidR="00C415A5">
        <w:rPr>
          <w:sz w:val="24"/>
          <w:szCs w:val="24"/>
        </w:rPr>
        <w:t xml:space="preserve"> that uncertain risks should not be taken</w:t>
      </w:r>
      <w:r w:rsidR="00582702">
        <w:rPr>
          <w:sz w:val="24"/>
          <w:szCs w:val="24"/>
        </w:rPr>
        <w:t>. N</w:t>
      </w:r>
      <w:r w:rsidR="00C415A5">
        <w:rPr>
          <w:sz w:val="24"/>
          <w:szCs w:val="24"/>
        </w:rPr>
        <w:t xml:space="preserve">or is it about pursuing the lowest possible threshold of risk under all circumstances. Rather, this book has argued that there is nothing objective and “correct” in </w:t>
      </w:r>
      <w:r w:rsidR="00AB7516">
        <w:rPr>
          <w:sz w:val="24"/>
          <w:szCs w:val="24"/>
        </w:rPr>
        <w:t xml:space="preserve">the choice to </w:t>
      </w:r>
      <w:r w:rsidR="00C415A5">
        <w:rPr>
          <w:sz w:val="24"/>
          <w:szCs w:val="24"/>
        </w:rPr>
        <w:t xml:space="preserve">focus on what we </w:t>
      </w:r>
      <w:r w:rsidR="00C415A5" w:rsidRPr="00AB7516">
        <w:rPr>
          <w:i/>
          <w:iCs/>
          <w:sz w:val="24"/>
          <w:szCs w:val="24"/>
        </w:rPr>
        <w:t>know</w:t>
      </w:r>
      <w:r w:rsidR="00C415A5">
        <w:rPr>
          <w:sz w:val="24"/>
          <w:szCs w:val="24"/>
        </w:rPr>
        <w:t xml:space="preserve">, rather than what </w:t>
      </w:r>
      <w:r w:rsidR="00AB7516">
        <w:rPr>
          <w:sz w:val="24"/>
          <w:szCs w:val="24"/>
        </w:rPr>
        <w:t xml:space="preserve">we do </w:t>
      </w:r>
      <w:r w:rsidR="00AB7516" w:rsidRPr="00AB7516">
        <w:rPr>
          <w:i/>
          <w:iCs/>
          <w:sz w:val="24"/>
          <w:szCs w:val="24"/>
        </w:rPr>
        <w:t>not</w:t>
      </w:r>
      <w:r w:rsidR="00C76E37">
        <w:rPr>
          <w:i/>
          <w:iCs/>
          <w:sz w:val="24"/>
          <w:szCs w:val="24"/>
        </w:rPr>
        <w:t xml:space="preserve"> </w:t>
      </w:r>
      <w:r w:rsidR="00AB7516" w:rsidRPr="00AB7516">
        <w:rPr>
          <w:i/>
          <w:iCs/>
          <w:sz w:val="24"/>
          <w:szCs w:val="24"/>
        </w:rPr>
        <w:t>know</w:t>
      </w:r>
      <w:r w:rsidR="00A231AF">
        <w:rPr>
          <w:sz w:val="24"/>
          <w:szCs w:val="24"/>
        </w:rPr>
        <w:t>. N</w:t>
      </w:r>
      <w:r w:rsidR="00AB7516">
        <w:rPr>
          <w:sz w:val="24"/>
          <w:szCs w:val="24"/>
        </w:rPr>
        <w:t xml:space="preserve">or is </w:t>
      </w:r>
      <w:r w:rsidR="00C76E37">
        <w:rPr>
          <w:sz w:val="24"/>
          <w:szCs w:val="24"/>
        </w:rPr>
        <w:t xml:space="preserve">there anything objective and “correct” in focusing </w:t>
      </w:r>
      <w:r w:rsidR="00AB7516">
        <w:rPr>
          <w:sz w:val="24"/>
          <w:szCs w:val="24"/>
        </w:rPr>
        <w:t>on regulatory cost-benefit effectiveness</w:t>
      </w:r>
      <w:r w:rsidR="00C76E37">
        <w:rPr>
          <w:sz w:val="24"/>
          <w:szCs w:val="24"/>
        </w:rPr>
        <w:t>, rather than pursuing</w:t>
      </w:r>
      <w:r w:rsidR="00AB7516">
        <w:rPr>
          <w:sz w:val="24"/>
          <w:szCs w:val="24"/>
        </w:rPr>
        <w:t xml:space="preserve"> enhanced levels of protection and </w:t>
      </w:r>
      <w:r w:rsidR="00C76E37">
        <w:rPr>
          <w:sz w:val="24"/>
          <w:szCs w:val="24"/>
        </w:rPr>
        <w:t xml:space="preserve">considering </w:t>
      </w:r>
      <w:r w:rsidR="00AB7516">
        <w:rPr>
          <w:sz w:val="24"/>
          <w:szCs w:val="24"/>
        </w:rPr>
        <w:t xml:space="preserve">different OLFs. Evidence-based models are </w:t>
      </w:r>
      <w:r w:rsidR="00AB7516" w:rsidRPr="00AB7516">
        <w:rPr>
          <w:i/>
          <w:iCs/>
          <w:sz w:val="24"/>
          <w:szCs w:val="24"/>
        </w:rPr>
        <w:t>not</w:t>
      </w:r>
      <w:r w:rsidR="00AB7516">
        <w:rPr>
          <w:sz w:val="24"/>
          <w:szCs w:val="24"/>
        </w:rPr>
        <w:t xml:space="preserve"> “better” than socially acceptable risk approaches. </w:t>
      </w:r>
      <w:r w:rsidR="00C76E37">
        <w:rPr>
          <w:sz w:val="24"/>
          <w:szCs w:val="24"/>
        </w:rPr>
        <w:t>The</w:t>
      </w:r>
      <w:r w:rsidR="00A73377">
        <w:rPr>
          <w:sz w:val="24"/>
          <w:szCs w:val="24"/>
        </w:rPr>
        <w:t xml:space="preserve"> acritical assumption that uncertain risks must be taken, or the</w:t>
      </w:r>
      <w:r w:rsidR="00C76E37">
        <w:rPr>
          <w:sz w:val="24"/>
          <w:szCs w:val="24"/>
        </w:rPr>
        <w:t xml:space="preserve"> quest for “pure” or “better” science</w:t>
      </w:r>
      <w:r w:rsidR="00A73377">
        <w:rPr>
          <w:sz w:val="24"/>
          <w:szCs w:val="24"/>
        </w:rPr>
        <w:t>,</w:t>
      </w:r>
      <w:r w:rsidR="00C76E37">
        <w:rPr>
          <w:sz w:val="24"/>
          <w:szCs w:val="24"/>
        </w:rPr>
        <w:t xml:space="preserve"> will not bring us far.</w:t>
      </w:r>
      <w:r w:rsidR="00A73377">
        <w:rPr>
          <w:sz w:val="24"/>
          <w:szCs w:val="24"/>
        </w:rPr>
        <w:t xml:space="preserve"> </w:t>
      </w:r>
      <w:r w:rsidR="00B32F66">
        <w:rPr>
          <w:sz w:val="24"/>
          <w:szCs w:val="24"/>
        </w:rPr>
        <w:t>Facts and values are intertwined in the field of risk governance, and th</w:t>
      </w:r>
      <w:r w:rsidR="00C76E37">
        <w:rPr>
          <w:sz w:val="24"/>
          <w:szCs w:val="24"/>
        </w:rPr>
        <w:t xml:space="preserve">e </w:t>
      </w:r>
      <w:r w:rsidR="00AB7516">
        <w:rPr>
          <w:sz w:val="24"/>
          <w:szCs w:val="24"/>
        </w:rPr>
        <w:t xml:space="preserve">starting point </w:t>
      </w:r>
      <w:r w:rsidR="00C76E37">
        <w:rPr>
          <w:sz w:val="24"/>
          <w:szCs w:val="24"/>
        </w:rPr>
        <w:t xml:space="preserve">in risk regulation debates </w:t>
      </w:r>
      <w:r w:rsidR="00AB7516">
        <w:rPr>
          <w:sz w:val="24"/>
          <w:szCs w:val="24"/>
        </w:rPr>
        <w:t xml:space="preserve">should </w:t>
      </w:r>
      <w:r w:rsidR="00C76E37" w:rsidRPr="00A231AF">
        <w:rPr>
          <w:sz w:val="24"/>
          <w:szCs w:val="24"/>
        </w:rPr>
        <w:t>always</w:t>
      </w:r>
      <w:r w:rsidR="00C76E37">
        <w:rPr>
          <w:sz w:val="24"/>
          <w:szCs w:val="24"/>
        </w:rPr>
        <w:t xml:space="preserve"> </w:t>
      </w:r>
      <w:r w:rsidR="00AB7516">
        <w:rPr>
          <w:sz w:val="24"/>
          <w:szCs w:val="24"/>
        </w:rPr>
        <w:t xml:space="preserve">be a discussion </w:t>
      </w:r>
      <w:r w:rsidR="00C76E37">
        <w:rPr>
          <w:sz w:val="24"/>
          <w:szCs w:val="24"/>
        </w:rPr>
        <w:t>about</w:t>
      </w:r>
      <w:r w:rsidR="00AB7516">
        <w:rPr>
          <w:sz w:val="24"/>
          <w:szCs w:val="24"/>
        </w:rPr>
        <w:t xml:space="preserve"> </w:t>
      </w:r>
      <w:r w:rsidR="00AB7516" w:rsidRPr="00A231AF">
        <w:rPr>
          <w:i/>
          <w:iCs/>
          <w:sz w:val="24"/>
          <w:szCs w:val="24"/>
        </w:rPr>
        <w:t>v</w:t>
      </w:r>
      <w:r w:rsidR="00C415A5" w:rsidRPr="00A231AF">
        <w:rPr>
          <w:i/>
          <w:iCs/>
          <w:sz w:val="24"/>
          <w:szCs w:val="24"/>
        </w:rPr>
        <w:t>alues</w:t>
      </w:r>
      <w:r w:rsidR="00AB7516">
        <w:rPr>
          <w:sz w:val="24"/>
          <w:szCs w:val="24"/>
        </w:rPr>
        <w:t xml:space="preserve"> and </w:t>
      </w:r>
      <w:r w:rsidR="00C76E37">
        <w:rPr>
          <w:sz w:val="24"/>
          <w:szCs w:val="24"/>
        </w:rPr>
        <w:t xml:space="preserve">all relevant </w:t>
      </w:r>
      <w:r w:rsidR="00AB7516" w:rsidRPr="00A231AF">
        <w:rPr>
          <w:i/>
          <w:iCs/>
          <w:sz w:val="24"/>
          <w:szCs w:val="24"/>
        </w:rPr>
        <w:t>stakes</w:t>
      </w:r>
      <w:r w:rsidR="00AB7516">
        <w:rPr>
          <w:sz w:val="24"/>
          <w:szCs w:val="24"/>
        </w:rPr>
        <w:t>.</w:t>
      </w:r>
    </w:p>
    <w:p w14:paraId="1C1A87FD" w14:textId="22DA5E23" w:rsidR="004F170B" w:rsidRDefault="00A73377" w:rsidP="00582702">
      <w:pPr>
        <w:spacing w:after="0" w:line="276" w:lineRule="auto"/>
        <w:ind w:firstLine="720"/>
        <w:jc w:val="both"/>
        <w:rPr>
          <w:sz w:val="24"/>
          <w:szCs w:val="24"/>
        </w:rPr>
      </w:pPr>
      <w:r w:rsidRPr="00C415A5">
        <w:rPr>
          <w:sz w:val="24"/>
          <w:szCs w:val="24"/>
        </w:rPr>
        <w:lastRenderedPageBreak/>
        <w:t xml:space="preserve">Technological and scientific developments, in and of themselves, can hardly be considered inherently “good” or “bad”. </w:t>
      </w:r>
      <w:r w:rsidR="008D0850">
        <w:rPr>
          <w:sz w:val="24"/>
          <w:szCs w:val="24"/>
        </w:rPr>
        <w:t>As</w:t>
      </w:r>
      <w:r w:rsidR="00A171A8">
        <w:rPr>
          <w:sz w:val="24"/>
          <w:szCs w:val="24"/>
        </w:rPr>
        <w:t xml:space="preserve"> explained in the first and third chapters, n</w:t>
      </w:r>
      <w:r w:rsidR="008D0850">
        <w:rPr>
          <w:sz w:val="24"/>
          <w:szCs w:val="24"/>
        </w:rPr>
        <w:t xml:space="preserve">ew genome editing techniques are </w:t>
      </w:r>
      <w:r w:rsidR="002100C8">
        <w:rPr>
          <w:sz w:val="24"/>
          <w:szCs w:val="24"/>
        </w:rPr>
        <w:t xml:space="preserve">increasingly </w:t>
      </w:r>
      <w:r w:rsidR="008D0850">
        <w:rPr>
          <w:sz w:val="24"/>
          <w:szCs w:val="24"/>
        </w:rPr>
        <w:t xml:space="preserve">being </w:t>
      </w:r>
      <w:r w:rsidR="00A171A8">
        <w:rPr>
          <w:sz w:val="24"/>
          <w:szCs w:val="24"/>
        </w:rPr>
        <w:t>employed</w:t>
      </w:r>
      <w:r w:rsidR="00A231AF">
        <w:rPr>
          <w:sz w:val="24"/>
          <w:szCs w:val="24"/>
        </w:rPr>
        <w:t>. T</w:t>
      </w:r>
      <w:r w:rsidR="008D0850">
        <w:rPr>
          <w:sz w:val="24"/>
          <w:szCs w:val="24"/>
        </w:rPr>
        <w:t>he</w:t>
      </w:r>
      <w:r w:rsidR="00A171A8">
        <w:rPr>
          <w:sz w:val="24"/>
          <w:szCs w:val="24"/>
        </w:rPr>
        <w:t>ir</w:t>
      </w:r>
      <w:r w:rsidR="008D0850">
        <w:rPr>
          <w:sz w:val="24"/>
          <w:szCs w:val="24"/>
        </w:rPr>
        <w:t xml:space="preserve"> advocates have emphasised the greater precision, reliability and </w:t>
      </w:r>
      <w:r w:rsidR="00A171A8">
        <w:rPr>
          <w:sz w:val="24"/>
          <w:szCs w:val="24"/>
        </w:rPr>
        <w:t>safety of this new generation of GE organisms.</w:t>
      </w:r>
      <w:r w:rsidR="0000717E">
        <w:rPr>
          <w:rStyle w:val="Rimandonotaapidipagina"/>
          <w:sz w:val="24"/>
          <w:szCs w:val="24"/>
        </w:rPr>
        <w:footnoteReference w:id="7"/>
      </w:r>
      <w:r w:rsidR="00A171A8">
        <w:rPr>
          <w:sz w:val="24"/>
          <w:szCs w:val="24"/>
        </w:rPr>
        <w:t xml:space="preserve"> This might prove to be true</w:t>
      </w:r>
      <w:r w:rsidR="00066607">
        <w:rPr>
          <w:sz w:val="24"/>
          <w:szCs w:val="24"/>
        </w:rPr>
        <w:t xml:space="preserve">, dispelling persisting doubts as to the public health and environmental risks posed by agricultural biotechnologies. </w:t>
      </w:r>
      <w:r w:rsidR="00645C58">
        <w:rPr>
          <w:sz w:val="24"/>
          <w:szCs w:val="24"/>
        </w:rPr>
        <w:t>As new advances take place in the sector, climate-resilient GE crops might also</w:t>
      </w:r>
      <w:r w:rsidR="004F170B">
        <w:rPr>
          <w:sz w:val="24"/>
          <w:szCs w:val="24"/>
        </w:rPr>
        <w:t xml:space="preserve"> in the future</w:t>
      </w:r>
      <w:r w:rsidR="00645C58">
        <w:rPr>
          <w:sz w:val="24"/>
          <w:szCs w:val="24"/>
        </w:rPr>
        <w:t xml:space="preserve"> prove more effective than their conventional counterparts as a climate change adaptation strategy.</w:t>
      </w:r>
      <w:r w:rsidR="00066607">
        <w:rPr>
          <w:sz w:val="24"/>
          <w:szCs w:val="24"/>
        </w:rPr>
        <w:t xml:space="preserve"> Research and investment in biotech firms may then shift from herbicide-resistant and pest-resistant crops to more environmentally sustainable GE crop varieties.</w:t>
      </w:r>
      <w:r w:rsidR="00CF4A55">
        <w:rPr>
          <w:sz w:val="24"/>
          <w:szCs w:val="24"/>
        </w:rPr>
        <w:t xml:space="preserve"> </w:t>
      </w:r>
      <w:r w:rsidR="00066607">
        <w:rPr>
          <w:sz w:val="24"/>
          <w:szCs w:val="24"/>
        </w:rPr>
        <w:t>New and more effective coexistence strategies</w:t>
      </w:r>
      <w:r w:rsidR="00CF4A55">
        <w:rPr>
          <w:sz w:val="24"/>
          <w:szCs w:val="24"/>
        </w:rPr>
        <w:t xml:space="preserve"> may be developed. The agricultural biotech sector may also open up to new actors and become more transparent. Further, public opinion could shift </w:t>
      </w:r>
      <w:r w:rsidR="00D1722D">
        <w:rPr>
          <w:sz w:val="24"/>
          <w:szCs w:val="24"/>
        </w:rPr>
        <w:t>with</w:t>
      </w:r>
      <w:r w:rsidR="00CF4A55">
        <w:rPr>
          <w:sz w:val="24"/>
          <w:szCs w:val="24"/>
        </w:rPr>
        <w:t xml:space="preserve">in jurisdictions and stakeholder groups. </w:t>
      </w:r>
    </w:p>
    <w:p w14:paraId="1892F335" w14:textId="692CF3A5" w:rsidR="00066607" w:rsidRDefault="00CF4A55" w:rsidP="009E5DFA">
      <w:pPr>
        <w:spacing w:after="0" w:line="276" w:lineRule="auto"/>
        <w:ind w:firstLine="720"/>
        <w:jc w:val="both"/>
        <w:rPr>
          <w:sz w:val="24"/>
          <w:szCs w:val="24"/>
        </w:rPr>
      </w:pPr>
      <w:r>
        <w:rPr>
          <w:sz w:val="24"/>
          <w:szCs w:val="24"/>
        </w:rPr>
        <w:t>All of this could happen one day</w:t>
      </w:r>
      <w:r w:rsidR="00421F34">
        <w:rPr>
          <w:sz w:val="24"/>
          <w:szCs w:val="24"/>
        </w:rPr>
        <w:t>, in the future; agricultural biotechnologies and their risks may then become increasingly accept</w:t>
      </w:r>
      <w:r w:rsidR="00561D31">
        <w:rPr>
          <w:sz w:val="24"/>
          <w:szCs w:val="24"/>
        </w:rPr>
        <w:t>ed</w:t>
      </w:r>
      <w:r w:rsidR="00421F34">
        <w:rPr>
          <w:sz w:val="24"/>
          <w:szCs w:val="24"/>
        </w:rPr>
        <w:t xml:space="preserve"> across different constituencies. </w:t>
      </w:r>
      <w:r w:rsidR="004F170B">
        <w:rPr>
          <w:sz w:val="24"/>
          <w:szCs w:val="24"/>
        </w:rPr>
        <w:t xml:space="preserve">The day may come when </w:t>
      </w:r>
      <w:r w:rsidR="001125C7">
        <w:rPr>
          <w:sz w:val="24"/>
          <w:szCs w:val="24"/>
        </w:rPr>
        <w:t xml:space="preserve">the decision to </w:t>
      </w:r>
      <w:r w:rsidR="00157E59">
        <w:rPr>
          <w:sz w:val="24"/>
          <w:szCs w:val="24"/>
        </w:rPr>
        <w:t xml:space="preserve">take </w:t>
      </w:r>
      <w:r w:rsidR="004F170B">
        <w:rPr>
          <w:sz w:val="24"/>
          <w:szCs w:val="24"/>
        </w:rPr>
        <w:t xml:space="preserve">the uncertain risks </w:t>
      </w:r>
      <w:r w:rsidR="001125C7">
        <w:rPr>
          <w:sz w:val="24"/>
          <w:szCs w:val="24"/>
        </w:rPr>
        <w:t>associated with</w:t>
      </w:r>
      <w:r w:rsidR="004F170B">
        <w:rPr>
          <w:sz w:val="24"/>
          <w:szCs w:val="24"/>
        </w:rPr>
        <w:t xml:space="preserve"> agricultural biotechnologies </w:t>
      </w:r>
      <w:r w:rsidR="001125C7">
        <w:rPr>
          <w:sz w:val="24"/>
          <w:szCs w:val="24"/>
        </w:rPr>
        <w:t xml:space="preserve">is </w:t>
      </w:r>
      <w:r w:rsidR="001125C7" w:rsidRPr="002347C7">
        <w:rPr>
          <w:i/>
          <w:iCs/>
          <w:sz w:val="24"/>
          <w:szCs w:val="24"/>
        </w:rPr>
        <w:t>not</w:t>
      </w:r>
      <w:r w:rsidR="001125C7">
        <w:rPr>
          <w:sz w:val="24"/>
          <w:szCs w:val="24"/>
        </w:rPr>
        <w:t xml:space="preserve"> informed by </w:t>
      </w:r>
      <w:r w:rsidR="001125C7" w:rsidRPr="002347C7">
        <w:rPr>
          <w:i/>
          <w:iCs/>
          <w:sz w:val="24"/>
          <w:szCs w:val="24"/>
        </w:rPr>
        <w:t>sound science</w:t>
      </w:r>
      <w:r w:rsidR="001125C7">
        <w:rPr>
          <w:sz w:val="24"/>
          <w:szCs w:val="24"/>
        </w:rPr>
        <w:t xml:space="preserve"> and </w:t>
      </w:r>
      <w:r w:rsidR="001125C7" w:rsidRPr="002347C7">
        <w:rPr>
          <w:i/>
          <w:iCs/>
          <w:sz w:val="24"/>
          <w:szCs w:val="24"/>
        </w:rPr>
        <w:t>economic</w:t>
      </w:r>
      <w:r w:rsidR="001125C7">
        <w:rPr>
          <w:sz w:val="24"/>
          <w:szCs w:val="24"/>
        </w:rPr>
        <w:t xml:space="preserve"> considerations, but draws on the acknowledgment that these risks are </w:t>
      </w:r>
      <w:r w:rsidR="001125C7" w:rsidRPr="002347C7">
        <w:rPr>
          <w:i/>
          <w:iCs/>
          <w:sz w:val="24"/>
          <w:szCs w:val="24"/>
        </w:rPr>
        <w:t>socially acceptable</w:t>
      </w:r>
      <w:r w:rsidR="001125C7">
        <w:rPr>
          <w:sz w:val="24"/>
          <w:szCs w:val="24"/>
        </w:rPr>
        <w:t xml:space="preserve">. </w:t>
      </w:r>
      <w:r w:rsidR="00421F34">
        <w:rPr>
          <w:sz w:val="24"/>
          <w:szCs w:val="24"/>
        </w:rPr>
        <w:t>For the time being, however, c</w:t>
      </w:r>
      <w:r w:rsidR="00066607">
        <w:rPr>
          <w:sz w:val="24"/>
          <w:szCs w:val="24"/>
        </w:rPr>
        <w:t>ounter-hegemonic</w:t>
      </w:r>
      <w:r w:rsidR="00421F34">
        <w:rPr>
          <w:sz w:val="24"/>
          <w:szCs w:val="24"/>
        </w:rPr>
        <w:t xml:space="preserve"> discourses on GE organisms</w:t>
      </w:r>
      <w:r w:rsidR="00066607">
        <w:rPr>
          <w:sz w:val="24"/>
          <w:szCs w:val="24"/>
        </w:rPr>
        <w:t xml:space="preserve"> and socially acceptable risk approaches have a </w:t>
      </w:r>
      <w:r w:rsidR="00066607" w:rsidRPr="00421F34">
        <w:rPr>
          <w:i/>
          <w:iCs/>
          <w:sz w:val="24"/>
          <w:szCs w:val="24"/>
        </w:rPr>
        <w:t>right</w:t>
      </w:r>
      <w:r w:rsidR="00421F34">
        <w:rPr>
          <w:sz w:val="24"/>
          <w:szCs w:val="24"/>
        </w:rPr>
        <w:t xml:space="preserve"> and a </w:t>
      </w:r>
      <w:r w:rsidR="00421F34" w:rsidRPr="00421F34">
        <w:rPr>
          <w:i/>
          <w:iCs/>
          <w:sz w:val="24"/>
          <w:szCs w:val="24"/>
        </w:rPr>
        <w:t>reason</w:t>
      </w:r>
      <w:r w:rsidR="00421F34">
        <w:rPr>
          <w:sz w:val="24"/>
          <w:szCs w:val="24"/>
        </w:rPr>
        <w:t xml:space="preserve"> to exist</w:t>
      </w:r>
      <w:r w:rsidR="00AE07C8">
        <w:rPr>
          <w:sz w:val="24"/>
          <w:szCs w:val="24"/>
        </w:rPr>
        <w:t>.</w:t>
      </w:r>
    </w:p>
    <w:p w14:paraId="3698E3A5" w14:textId="3B3B4657" w:rsidR="00FC753D" w:rsidRDefault="00FC753D" w:rsidP="00663AA0">
      <w:pPr>
        <w:spacing w:after="0" w:line="276" w:lineRule="auto"/>
        <w:jc w:val="both"/>
        <w:rPr>
          <w:sz w:val="24"/>
          <w:szCs w:val="24"/>
        </w:rPr>
      </w:pPr>
    </w:p>
    <w:p w14:paraId="6C0648E6" w14:textId="4827A2D4" w:rsidR="00FC753D" w:rsidRDefault="00FC753D" w:rsidP="00663AA0">
      <w:pPr>
        <w:spacing w:after="0" w:line="276" w:lineRule="auto"/>
        <w:jc w:val="both"/>
        <w:rPr>
          <w:sz w:val="24"/>
          <w:szCs w:val="24"/>
        </w:rPr>
      </w:pPr>
    </w:p>
    <w:p w14:paraId="339E81D9" w14:textId="0524A2FE" w:rsidR="00FC753D" w:rsidRPr="00FC753D" w:rsidRDefault="00FC753D" w:rsidP="00FC753D">
      <w:pPr>
        <w:pStyle w:val="Paragrafoelenco"/>
        <w:numPr>
          <w:ilvl w:val="0"/>
          <w:numId w:val="1"/>
        </w:numPr>
        <w:spacing w:after="0" w:line="276" w:lineRule="auto"/>
        <w:jc w:val="center"/>
        <w:rPr>
          <w:sz w:val="28"/>
          <w:szCs w:val="28"/>
        </w:rPr>
      </w:pPr>
      <w:r>
        <w:rPr>
          <w:sz w:val="28"/>
          <w:szCs w:val="28"/>
        </w:rPr>
        <w:t>Normative Analysis: The Failure of Science and Procedural Deliberation. Towards Legal Re-Materialisation?</w:t>
      </w:r>
    </w:p>
    <w:p w14:paraId="1D7F7B83" w14:textId="77777777" w:rsidR="000D6697" w:rsidRDefault="000D6697" w:rsidP="00663AA0">
      <w:pPr>
        <w:spacing w:after="0" w:line="276" w:lineRule="auto"/>
        <w:jc w:val="both"/>
        <w:rPr>
          <w:sz w:val="24"/>
          <w:szCs w:val="24"/>
        </w:rPr>
      </w:pPr>
    </w:p>
    <w:p w14:paraId="1CAB18B6" w14:textId="6AD8C12C" w:rsidR="007314BA" w:rsidRDefault="009A3B68" w:rsidP="007314BA">
      <w:pPr>
        <w:spacing w:after="0" w:line="276" w:lineRule="auto"/>
        <w:jc w:val="both"/>
        <w:rPr>
          <w:sz w:val="24"/>
          <w:szCs w:val="24"/>
        </w:rPr>
      </w:pPr>
      <w:r>
        <w:rPr>
          <w:sz w:val="24"/>
          <w:szCs w:val="24"/>
        </w:rPr>
        <w:t xml:space="preserve">The normative strand of analysis </w:t>
      </w:r>
      <w:r w:rsidR="00BD4654">
        <w:rPr>
          <w:sz w:val="24"/>
          <w:szCs w:val="24"/>
        </w:rPr>
        <w:t xml:space="preserve">of the book </w:t>
      </w:r>
      <w:r>
        <w:rPr>
          <w:sz w:val="24"/>
          <w:szCs w:val="24"/>
        </w:rPr>
        <w:t>has enquired into the ability of both science and procedural deliberation to generate agreement</w:t>
      </w:r>
      <w:r w:rsidR="00BD4654">
        <w:rPr>
          <w:sz w:val="24"/>
          <w:szCs w:val="24"/>
        </w:rPr>
        <w:t xml:space="preserve"> in the field of risk governance</w:t>
      </w:r>
      <w:r w:rsidR="00602538">
        <w:rPr>
          <w:sz w:val="24"/>
          <w:szCs w:val="24"/>
        </w:rPr>
        <w:t>, with a view to solving regulatory conflicts</w:t>
      </w:r>
      <w:r>
        <w:rPr>
          <w:sz w:val="24"/>
          <w:szCs w:val="24"/>
        </w:rPr>
        <w:t xml:space="preserve">. </w:t>
      </w:r>
      <w:r w:rsidR="00182883">
        <w:rPr>
          <w:sz w:val="24"/>
          <w:szCs w:val="24"/>
        </w:rPr>
        <w:t xml:space="preserve">The book has argued </w:t>
      </w:r>
      <w:r w:rsidR="00757A5A">
        <w:rPr>
          <w:sz w:val="24"/>
          <w:szCs w:val="24"/>
        </w:rPr>
        <w:t xml:space="preserve">and shown </w:t>
      </w:r>
      <w:r w:rsidR="00182883">
        <w:rPr>
          <w:sz w:val="24"/>
          <w:szCs w:val="24"/>
        </w:rPr>
        <w:t xml:space="preserve">that </w:t>
      </w:r>
      <w:r w:rsidR="007314BA">
        <w:rPr>
          <w:sz w:val="24"/>
          <w:szCs w:val="24"/>
        </w:rPr>
        <w:t>science</w:t>
      </w:r>
      <w:r w:rsidR="00757A5A">
        <w:rPr>
          <w:sz w:val="24"/>
          <w:szCs w:val="24"/>
        </w:rPr>
        <w:t xml:space="preserve"> </w:t>
      </w:r>
      <w:r w:rsidR="007314BA">
        <w:rPr>
          <w:sz w:val="24"/>
          <w:szCs w:val="24"/>
        </w:rPr>
        <w:t xml:space="preserve">can hardly </w:t>
      </w:r>
      <w:r w:rsidR="00684C7E">
        <w:rPr>
          <w:sz w:val="24"/>
          <w:szCs w:val="24"/>
        </w:rPr>
        <w:t>help generate</w:t>
      </w:r>
      <w:r w:rsidR="00BD4654">
        <w:rPr>
          <w:sz w:val="24"/>
          <w:szCs w:val="24"/>
        </w:rPr>
        <w:t xml:space="preserve"> </w:t>
      </w:r>
      <w:r w:rsidR="00602538">
        <w:rPr>
          <w:sz w:val="24"/>
          <w:szCs w:val="24"/>
        </w:rPr>
        <w:t xml:space="preserve">genuine </w:t>
      </w:r>
      <w:r w:rsidR="00BD4654">
        <w:rPr>
          <w:sz w:val="24"/>
          <w:szCs w:val="24"/>
        </w:rPr>
        <w:t>agreement</w:t>
      </w:r>
      <w:r w:rsidR="00602538">
        <w:rPr>
          <w:sz w:val="24"/>
          <w:szCs w:val="24"/>
        </w:rPr>
        <w:t xml:space="preserve">. </w:t>
      </w:r>
      <w:r w:rsidR="007314BA">
        <w:rPr>
          <w:sz w:val="24"/>
          <w:szCs w:val="24"/>
        </w:rPr>
        <w:t xml:space="preserve">While reference to mere scientific matters </w:t>
      </w:r>
      <w:r w:rsidR="007314BA" w:rsidRPr="00E647E6">
        <w:rPr>
          <w:i/>
          <w:iCs/>
          <w:sz w:val="24"/>
          <w:szCs w:val="24"/>
        </w:rPr>
        <w:t>could</w:t>
      </w:r>
      <w:r w:rsidR="007314BA">
        <w:rPr>
          <w:sz w:val="24"/>
          <w:szCs w:val="24"/>
        </w:rPr>
        <w:t xml:space="preserve"> play a role in cases where uncertainties are very</w:t>
      </w:r>
      <w:r w:rsidR="00120B88">
        <w:rPr>
          <w:sz w:val="24"/>
          <w:szCs w:val="24"/>
        </w:rPr>
        <w:t xml:space="preserve"> </w:t>
      </w:r>
      <w:r w:rsidR="007314BA">
        <w:rPr>
          <w:sz w:val="24"/>
          <w:szCs w:val="24"/>
        </w:rPr>
        <w:t xml:space="preserve">low and scientific agreement very solid, this role will be limited. </w:t>
      </w:r>
    </w:p>
    <w:p w14:paraId="1F0DE8AC" w14:textId="38B40051" w:rsidR="009E5DFA" w:rsidRDefault="004B18DD" w:rsidP="009E5DFA">
      <w:pPr>
        <w:spacing w:after="0" w:line="276" w:lineRule="auto"/>
        <w:ind w:firstLine="720"/>
        <w:jc w:val="both"/>
        <w:rPr>
          <w:sz w:val="24"/>
          <w:szCs w:val="24"/>
        </w:rPr>
      </w:pPr>
      <w:r>
        <w:rPr>
          <w:sz w:val="24"/>
          <w:szCs w:val="24"/>
        </w:rPr>
        <w:t xml:space="preserve">When the </w:t>
      </w:r>
      <w:r w:rsidR="00B37468" w:rsidRPr="00A231AF">
        <w:rPr>
          <w:sz w:val="24"/>
          <w:szCs w:val="24"/>
        </w:rPr>
        <w:t>evidence</w:t>
      </w:r>
      <w:r w:rsidRPr="00A231AF">
        <w:rPr>
          <w:sz w:val="24"/>
          <w:szCs w:val="24"/>
        </w:rPr>
        <w:t xml:space="preserve"> bas</w:t>
      </w:r>
      <w:r w:rsidR="00B37468" w:rsidRPr="00A231AF">
        <w:rPr>
          <w:sz w:val="24"/>
          <w:szCs w:val="24"/>
        </w:rPr>
        <w:t>e</w:t>
      </w:r>
      <w:r w:rsidRPr="00A231AF">
        <w:rPr>
          <w:sz w:val="24"/>
          <w:szCs w:val="24"/>
        </w:rPr>
        <w:t xml:space="preserve"> for regulatory action differs, this begs the question why these differences exist; such differences reflect </w:t>
      </w:r>
      <w:r w:rsidR="00757A5A" w:rsidRPr="00A231AF">
        <w:rPr>
          <w:sz w:val="24"/>
          <w:szCs w:val="24"/>
        </w:rPr>
        <w:t>more or less prudential</w:t>
      </w:r>
      <w:r w:rsidRPr="00A231AF">
        <w:rPr>
          <w:sz w:val="24"/>
          <w:szCs w:val="24"/>
        </w:rPr>
        <w:t xml:space="preserve"> approaches to risk assessment. Indeed, as the book has shown, the very framing</w:t>
      </w:r>
      <w:r w:rsidR="00450957" w:rsidRPr="00A231AF">
        <w:rPr>
          <w:sz w:val="24"/>
          <w:szCs w:val="24"/>
        </w:rPr>
        <w:t>s</w:t>
      </w:r>
      <w:r w:rsidRPr="00A231AF">
        <w:rPr>
          <w:sz w:val="24"/>
          <w:szCs w:val="24"/>
        </w:rPr>
        <w:t xml:space="preserve"> of the relevant scientific questions can at times be irreconcilable.</w:t>
      </w:r>
      <w:r w:rsidRPr="00A231AF">
        <w:rPr>
          <w:rStyle w:val="Rimandonotaapidipagina"/>
          <w:sz w:val="24"/>
          <w:szCs w:val="24"/>
        </w:rPr>
        <w:footnoteReference w:id="8"/>
      </w:r>
      <w:r w:rsidR="00B37468" w:rsidRPr="00A231AF">
        <w:rPr>
          <w:sz w:val="24"/>
          <w:szCs w:val="24"/>
        </w:rPr>
        <w:t xml:space="preserve"> </w:t>
      </w:r>
      <w:r w:rsidR="00757A5A" w:rsidRPr="00A231AF">
        <w:rPr>
          <w:sz w:val="24"/>
          <w:szCs w:val="24"/>
        </w:rPr>
        <w:t>Equally, different inferences</w:t>
      </w:r>
      <w:r w:rsidR="00757A5A">
        <w:rPr>
          <w:sz w:val="24"/>
          <w:szCs w:val="24"/>
        </w:rPr>
        <w:t xml:space="preserve"> drawn from the available scientific evidence reflect the different extent to which regulators adhere to sound science or focus on multiple forms of uncertainty. </w:t>
      </w:r>
    </w:p>
    <w:p w14:paraId="25CEE4A5" w14:textId="7C784E79" w:rsidR="004219C5" w:rsidRDefault="00DD7A6B" w:rsidP="009E1F31">
      <w:pPr>
        <w:spacing w:after="0" w:line="276" w:lineRule="auto"/>
        <w:ind w:firstLine="720"/>
        <w:jc w:val="both"/>
        <w:rPr>
          <w:sz w:val="24"/>
          <w:szCs w:val="24"/>
        </w:rPr>
      </w:pPr>
      <w:bookmarkStart w:id="0" w:name="_Hlk67157216"/>
      <w:r>
        <w:rPr>
          <w:sz w:val="24"/>
          <w:szCs w:val="24"/>
        </w:rPr>
        <w:t>In controversial cases where</w:t>
      </w:r>
      <w:r w:rsidR="00757A5A">
        <w:rPr>
          <w:sz w:val="24"/>
          <w:szCs w:val="24"/>
        </w:rPr>
        <w:t xml:space="preserve"> scientific uncertainty persists, reference to mere scientific matters cannot</w:t>
      </w:r>
      <w:r w:rsidR="007314BA">
        <w:rPr>
          <w:sz w:val="24"/>
          <w:szCs w:val="24"/>
        </w:rPr>
        <w:t xml:space="preserve"> </w:t>
      </w:r>
      <w:r w:rsidR="00757A5A">
        <w:rPr>
          <w:sz w:val="24"/>
          <w:szCs w:val="24"/>
        </w:rPr>
        <w:t xml:space="preserve">square the circle. </w:t>
      </w:r>
      <w:bookmarkStart w:id="1" w:name="_Hlk67156916"/>
      <w:r w:rsidR="00687F10">
        <w:rPr>
          <w:sz w:val="24"/>
          <w:szCs w:val="24"/>
        </w:rPr>
        <w:t>Sound science or the</w:t>
      </w:r>
      <w:r w:rsidR="009E5DFA">
        <w:rPr>
          <w:sz w:val="24"/>
          <w:szCs w:val="24"/>
        </w:rPr>
        <w:t xml:space="preserve"> “best” science </w:t>
      </w:r>
      <w:r w:rsidR="00687F10">
        <w:rPr>
          <w:sz w:val="24"/>
          <w:szCs w:val="24"/>
        </w:rPr>
        <w:t>will</w:t>
      </w:r>
      <w:r w:rsidR="009E5DFA">
        <w:rPr>
          <w:sz w:val="24"/>
          <w:szCs w:val="24"/>
        </w:rPr>
        <w:t xml:space="preserve"> not</w:t>
      </w:r>
      <w:r w:rsidR="00687F10">
        <w:rPr>
          <w:sz w:val="24"/>
          <w:szCs w:val="24"/>
        </w:rPr>
        <w:t xml:space="preserve"> necessarily</w:t>
      </w:r>
      <w:r w:rsidR="009E5DFA">
        <w:rPr>
          <w:sz w:val="24"/>
          <w:szCs w:val="24"/>
        </w:rPr>
        <w:t xml:space="preserve"> </w:t>
      </w:r>
      <w:r w:rsidR="009E1F31">
        <w:rPr>
          <w:sz w:val="24"/>
          <w:szCs w:val="24"/>
        </w:rPr>
        <w:t>yield</w:t>
      </w:r>
      <w:r w:rsidR="009E5DFA">
        <w:rPr>
          <w:sz w:val="24"/>
          <w:szCs w:val="24"/>
        </w:rPr>
        <w:t xml:space="preserve"> </w:t>
      </w:r>
      <w:r w:rsidR="00AC3B2A">
        <w:rPr>
          <w:sz w:val="24"/>
          <w:szCs w:val="24"/>
        </w:rPr>
        <w:t xml:space="preserve">factually </w:t>
      </w:r>
      <w:r w:rsidR="009E5DFA">
        <w:rPr>
          <w:sz w:val="24"/>
          <w:szCs w:val="24"/>
        </w:rPr>
        <w:t>“correct” answer</w:t>
      </w:r>
      <w:r w:rsidR="00133381">
        <w:rPr>
          <w:sz w:val="24"/>
          <w:szCs w:val="24"/>
        </w:rPr>
        <w:t>s</w:t>
      </w:r>
      <w:r w:rsidR="009E1F31">
        <w:rPr>
          <w:sz w:val="24"/>
          <w:szCs w:val="24"/>
        </w:rPr>
        <w:t xml:space="preserve">. Further, even in cases where uncertainties are not salient, science cannot possibly solve the value-laden conundrum of the acceptability of </w:t>
      </w:r>
      <w:r w:rsidR="00133381">
        <w:rPr>
          <w:sz w:val="24"/>
          <w:szCs w:val="24"/>
        </w:rPr>
        <w:t>uncertain</w:t>
      </w:r>
      <w:r w:rsidR="009E1F31">
        <w:rPr>
          <w:sz w:val="24"/>
          <w:szCs w:val="24"/>
        </w:rPr>
        <w:t xml:space="preserve"> risk</w:t>
      </w:r>
      <w:r w:rsidR="00133381">
        <w:rPr>
          <w:sz w:val="24"/>
          <w:szCs w:val="24"/>
        </w:rPr>
        <w:t>s</w:t>
      </w:r>
      <w:bookmarkEnd w:id="0"/>
      <w:bookmarkEnd w:id="1"/>
      <w:r w:rsidR="0070270D">
        <w:rPr>
          <w:sz w:val="24"/>
          <w:szCs w:val="24"/>
        </w:rPr>
        <w:t xml:space="preserve">: </w:t>
      </w:r>
      <w:r w:rsidR="0070270D">
        <w:rPr>
          <w:sz w:val="24"/>
          <w:szCs w:val="24"/>
        </w:rPr>
        <w:lastRenderedPageBreak/>
        <w:t>normative considerations surrounding the intended level of protection, economic cost-benefit effectiveness and OLFs are always present in the field of risk governance.</w:t>
      </w:r>
      <w:r w:rsidR="009E1F31">
        <w:rPr>
          <w:sz w:val="24"/>
          <w:szCs w:val="24"/>
        </w:rPr>
        <w:t xml:space="preserve"> </w:t>
      </w:r>
      <w:r w:rsidR="00757A5A">
        <w:rPr>
          <w:sz w:val="24"/>
          <w:szCs w:val="24"/>
        </w:rPr>
        <w:t>Science</w:t>
      </w:r>
      <w:r w:rsidR="00B46C4A">
        <w:rPr>
          <w:sz w:val="24"/>
          <w:szCs w:val="24"/>
        </w:rPr>
        <w:t xml:space="preserve"> cannot generate genuine agreement because, in the face of </w:t>
      </w:r>
      <w:r w:rsidR="009E5DFA">
        <w:rPr>
          <w:sz w:val="24"/>
          <w:szCs w:val="24"/>
        </w:rPr>
        <w:t xml:space="preserve">scientific </w:t>
      </w:r>
      <w:r w:rsidR="009E1F31">
        <w:rPr>
          <w:sz w:val="24"/>
          <w:szCs w:val="24"/>
        </w:rPr>
        <w:t xml:space="preserve">complexity and whenever </w:t>
      </w:r>
      <w:r w:rsidR="009E1F31" w:rsidRPr="00F035FF">
        <w:rPr>
          <w:sz w:val="24"/>
          <w:szCs w:val="24"/>
        </w:rPr>
        <w:t xml:space="preserve">normative </w:t>
      </w:r>
      <w:r w:rsidR="009E1F31">
        <w:rPr>
          <w:sz w:val="24"/>
          <w:szCs w:val="24"/>
        </w:rPr>
        <w:t>perspectives differ</w:t>
      </w:r>
      <w:r w:rsidR="00B46C4A">
        <w:rPr>
          <w:sz w:val="24"/>
          <w:szCs w:val="24"/>
        </w:rPr>
        <w:t>, it cannot provide a single “</w:t>
      </w:r>
      <w:r w:rsidR="009E5DFA">
        <w:rPr>
          <w:sz w:val="24"/>
          <w:szCs w:val="24"/>
        </w:rPr>
        <w:t>valid</w:t>
      </w:r>
      <w:r w:rsidR="00B46C4A">
        <w:rPr>
          <w:sz w:val="24"/>
          <w:szCs w:val="24"/>
        </w:rPr>
        <w:t>” and universally agreeable answer</w:t>
      </w:r>
      <w:r w:rsidR="009E5DFA">
        <w:rPr>
          <w:sz w:val="24"/>
          <w:szCs w:val="24"/>
        </w:rPr>
        <w:t>. R</w:t>
      </w:r>
      <w:r w:rsidR="00B46C4A">
        <w:rPr>
          <w:sz w:val="24"/>
          <w:szCs w:val="24"/>
        </w:rPr>
        <w:t xml:space="preserve">ather, </w:t>
      </w:r>
      <w:r w:rsidR="00B46C4A" w:rsidRPr="00A231AF">
        <w:rPr>
          <w:sz w:val="24"/>
          <w:szCs w:val="24"/>
        </w:rPr>
        <w:t>normative frames</w:t>
      </w:r>
      <w:r w:rsidR="00B46C4A">
        <w:rPr>
          <w:sz w:val="24"/>
          <w:szCs w:val="24"/>
        </w:rPr>
        <w:t xml:space="preserve"> play a crucial role</w:t>
      </w:r>
      <w:r w:rsidR="007314BA">
        <w:rPr>
          <w:sz w:val="24"/>
          <w:szCs w:val="24"/>
        </w:rPr>
        <w:t xml:space="preserve">. </w:t>
      </w:r>
      <w:r w:rsidR="00B46C4A">
        <w:rPr>
          <w:sz w:val="24"/>
          <w:szCs w:val="24"/>
        </w:rPr>
        <w:t>Nor can any self-standing and objective criteria of “pure” science be identified</w:t>
      </w:r>
      <w:r w:rsidR="007314BA">
        <w:rPr>
          <w:sz w:val="24"/>
          <w:szCs w:val="24"/>
        </w:rPr>
        <w:t xml:space="preserve"> to solve controversies, as testified by the slippery slope of substantive (de novo) and procedural (deferential) review of risk regulation measures.</w:t>
      </w:r>
      <w:r w:rsidR="007314BA">
        <w:rPr>
          <w:rStyle w:val="Rimandonotaapidipagina"/>
          <w:sz w:val="24"/>
          <w:szCs w:val="24"/>
        </w:rPr>
        <w:footnoteReference w:id="9"/>
      </w:r>
      <w:r w:rsidR="00F035FF">
        <w:rPr>
          <w:sz w:val="24"/>
          <w:szCs w:val="24"/>
        </w:rPr>
        <w:t xml:space="preserve"> </w:t>
      </w:r>
      <w:r w:rsidR="009E1F31">
        <w:rPr>
          <w:sz w:val="24"/>
          <w:szCs w:val="24"/>
        </w:rPr>
        <w:t>E</w:t>
      </w:r>
      <w:r w:rsidR="00F035FF">
        <w:rPr>
          <w:sz w:val="24"/>
          <w:szCs w:val="24"/>
        </w:rPr>
        <w:t>ven more clearly, recourse to sound science approaches and a</w:t>
      </w:r>
      <w:r w:rsidR="00A70F9F">
        <w:rPr>
          <w:sz w:val="24"/>
          <w:szCs w:val="24"/>
        </w:rPr>
        <w:t>dherence to sound science</w:t>
      </w:r>
      <w:r w:rsidR="00F035FF">
        <w:rPr>
          <w:sz w:val="24"/>
          <w:szCs w:val="24"/>
        </w:rPr>
        <w:t xml:space="preserve"> </w:t>
      </w:r>
      <w:r w:rsidR="00A70F9F">
        <w:rPr>
          <w:sz w:val="24"/>
          <w:szCs w:val="24"/>
        </w:rPr>
        <w:t>cannot possibly generate agreement and provide a normatively legitimate solution to regulatory conflicts</w:t>
      </w:r>
      <w:r w:rsidR="00A231AF">
        <w:rPr>
          <w:sz w:val="24"/>
          <w:szCs w:val="24"/>
        </w:rPr>
        <w:t>.</w:t>
      </w:r>
      <w:r w:rsidR="00A70F9F">
        <w:rPr>
          <w:sz w:val="24"/>
          <w:szCs w:val="24"/>
        </w:rPr>
        <w:t xml:space="preserve"> </w:t>
      </w:r>
      <w:r w:rsidR="00A231AF">
        <w:rPr>
          <w:sz w:val="24"/>
          <w:szCs w:val="24"/>
        </w:rPr>
        <w:t>T</w:t>
      </w:r>
      <w:r w:rsidR="00F035FF">
        <w:rPr>
          <w:sz w:val="24"/>
          <w:szCs w:val="24"/>
        </w:rPr>
        <w:t>hey embody an assessment and</w:t>
      </w:r>
      <w:r w:rsidR="00133381">
        <w:rPr>
          <w:sz w:val="24"/>
          <w:szCs w:val="24"/>
        </w:rPr>
        <w:t xml:space="preserve"> an</w:t>
      </w:r>
      <w:r w:rsidR="00A70F9F">
        <w:rPr>
          <w:sz w:val="24"/>
          <w:szCs w:val="24"/>
        </w:rPr>
        <w:t xml:space="preserve"> </w:t>
      </w:r>
      <w:r w:rsidR="00F035FF">
        <w:rPr>
          <w:sz w:val="24"/>
          <w:szCs w:val="24"/>
        </w:rPr>
        <w:t xml:space="preserve">evaluation </w:t>
      </w:r>
      <w:r w:rsidR="00450957">
        <w:rPr>
          <w:sz w:val="24"/>
          <w:szCs w:val="24"/>
        </w:rPr>
        <w:t>of</w:t>
      </w:r>
      <w:r w:rsidR="00F035FF">
        <w:rPr>
          <w:sz w:val="24"/>
          <w:szCs w:val="24"/>
        </w:rPr>
        <w:t xml:space="preserve"> </w:t>
      </w:r>
      <w:r w:rsidR="00A70F9F">
        <w:rPr>
          <w:sz w:val="24"/>
          <w:szCs w:val="24"/>
        </w:rPr>
        <w:t>scientific evidence through a specific normative frame.</w:t>
      </w:r>
    </w:p>
    <w:p w14:paraId="417912CC" w14:textId="0C52D335" w:rsidR="001B2613" w:rsidRDefault="00A70F9F" w:rsidP="009E5DFA">
      <w:pPr>
        <w:spacing w:after="0" w:line="276" w:lineRule="auto"/>
        <w:ind w:firstLine="720"/>
        <w:jc w:val="both"/>
        <w:rPr>
          <w:sz w:val="24"/>
          <w:szCs w:val="24"/>
        </w:rPr>
      </w:pPr>
      <w:r>
        <w:rPr>
          <w:sz w:val="24"/>
          <w:szCs w:val="24"/>
        </w:rPr>
        <w:t>Procedural deliberation provides a more promising way forward</w:t>
      </w:r>
      <w:r w:rsidR="00A45AAD">
        <w:rPr>
          <w:sz w:val="24"/>
          <w:szCs w:val="24"/>
        </w:rPr>
        <w:t>, in</w:t>
      </w:r>
      <w:r w:rsidR="001B2613">
        <w:rPr>
          <w:sz w:val="24"/>
          <w:szCs w:val="24"/>
        </w:rPr>
        <w:t xml:space="preserve">sofar as </w:t>
      </w:r>
      <w:r w:rsidR="00A45AAD">
        <w:rPr>
          <w:sz w:val="24"/>
          <w:szCs w:val="24"/>
        </w:rPr>
        <w:t xml:space="preserve">it acknowledges the role </w:t>
      </w:r>
      <w:r w:rsidR="001B2613">
        <w:rPr>
          <w:sz w:val="24"/>
          <w:szCs w:val="24"/>
        </w:rPr>
        <w:t>played by normative frames and values in the evaluation of scientific evidence and</w:t>
      </w:r>
      <w:r w:rsidR="00837A42">
        <w:rPr>
          <w:sz w:val="24"/>
          <w:szCs w:val="24"/>
        </w:rPr>
        <w:t xml:space="preserve"> in making</w:t>
      </w:r>
      <w:r w:rsidR="00FD1E56">
        <w:rPr>
          <w:sz w:val="24"/>
          <w:szCs w:val="24"/>
        </w:rPr>
        <w:t xml:space="preserve"> a</w:t>
      </w:r>
      <w:r w:rsidR="001B2613">
        <w:rPr>
          <w:sz w:val="24"/>
          <w:szCs w:val="24"/>
        </w:rPr>
        <w:t xml:space="preserve"> final decision as to whether </w:t>
      </w:r>
      <w:r w:rsidR="00ED718D">
        <w:rPr>
          <w:sz w:val="24"/>
          <w:szCs w:val="24"/>
        </w:rPr>
        <w:t>and how to regulate risks</w:t>
      </w:r>
      <w:r w:rsidR="001B2613">
        <w:rPr>
          <w:sz w:val="24"/>
          <w:szCs w:val="24"/>
        </w:rPr>
        <w:t>. The book has posited that procedural struggle</w:t>
      </w:r>
      <w:r w:rsidR="00737869">
        <w:rPr>
          <w:sz w:val="24"/>
          <w:szCs w:val="24"/>
        </w:rPr>
        <w:t>s</w:t>
      </w:r>
      <w:r w:rsidR="001B2613">
        <w:rPr>
          <w:sz w:val="24"/>
          <w:szCs w:val="24"/>
        </w:rPr>
        <w:t xml:space="preserve"> to mediate between different values and goals </w:t>
      </w:r>
      <w:r w:rsidR="001B2613" w:rsidRPr="001B2613">
        <w:rPr>
          <w:i/>
          <w:iCs/>
          <w:sz w:val="24"/>
          <w:szCs w:val="24"/>
        </w:rPr>
        <w:t>can</w:t>
      </w:r>
      <w:r w:rsidR="001B2613">
        <w:rPr>
          <w:sz w:val="24"/>
          <w:szCs w:val="24"/>
        </w:rPr>
        <w:t xml:space="preserve"> work</w:t>
      </w:r>
      <w:r w:rsidR="009E5DFA">
        <w:rPr>
          <w:sz w:val="24"/>
          <w:szCs w:val="24"/>
        </w:rPr>
        <w:t>. O</w:t>
      </w:r>
      <w:r w:rsidR="00F434D4">
        <w:rPr>
          <w:sz w:val="24"/>
          <w:szCs w:val="24"/>
        </w:rPr>
        <w:t xml:space="preserve">n these grounds, the normative strand of analysis has employed the Conflicts Law framework to enquire into </w:t>
      </w:r>
      <w:r w:rsidR="009C2F1D">
        <w:rPr>
          <w:sz w:val="24"/>
          <w:szCs w:val="24"/>
        </w:rPr>
        <w:t>its potential</w:t>
      </w:r>
      <w:r w:rsidR="00F434D4">
        <w:rPr>
          <w:sz w:val="24"/>
          <w:szCs w:val="24"/>
        </w:rPr>
        <w:t xml:space="preserve"> to solve horizontal, vertical and diagonal conflicts in the field of GE organisms. However, the book has also underlined that deliberative practices do not exist in a political and socio-economic vacuum</w:t>
      </w:r>
      <w:r w:rsidR="00A231AF">
        <w:rPr>
          <w:sz w:val="24"/>
          <w:szCs w:val="24"/>
        </w:rPr>
        <w:t>.</w:t>
      </w:r>
      <w:r w:rsidR="00F434D4">
        <w:rPr>
          <w:rStyle w:val="Rimandonotaapidipagina"/>
          <w:sz w:val="24"/>
          <w:szCs w:val="24"/>
        </w:rPr>
        <w:footnoteReference w:id="10"/>
      </w:r>
      <w:r w:rsidR="00F434D4">
        <w:rPr>
          <w:sz w:val="24"/>
          <w:szCs w:val="24"/>
        </w:rPr>
        <w:t xml:space="preserve"> </w:t>
      </w:r>
      <w:r w:rsidR="00A231AF">
        <w:rPr>
          <w:sz w:val="24"/>
          <w:szCs w:val="24"/>
        </w:rPr>
        <w:t>A</w:t>
      </w:r>
      <w:r w:rsidR="00F434D4">
        <w:rPr>
          <w:sz w:val="24"/>
          <w:szCs w:val="24"/>
        </w:rPr>
        <w:t xml:space="preserve"> set of </w:t>
      </w:r>
      <w:r w:rsidR="00F434D4" w:rsidRPr="00F434D4">
        <w:rPr>
          <w:i/>
          <w:iCs/>
          <w:sz w:val="24"/>
          <w:szCs w:val="24"/>
        </w:rPr>
        <w:t>substantive</w:t>
      </w:r>
      <w:r w:rsidR="00F434D4">
        <w:rPr>
          <w:sz w:val="24"/>
          <w:szCs w:val="24"/>
        </w:rPr>
        <w:t xml:space="preserve"> preconditions must be met for </w:t>
      </w:r>
      <w:r w:rsidR="00F434D4" w:rsidRPr="00F434D4">
        <w:rPr>
          <w:i/>
          <w:iCs/>
          <w:sz w:val="24"/>
          <w:szCs w:val="24"/>
        </w:rPr>
        <w:t>procedural</w:t>
      </w:r>
      <w:r w:rsidR="00F434D4">
        <w:rPr>
          <w:sz w:val="24"/>
          <w:szCs w:val="24"/>
        </w:rPr>
        <w:t xml:space="preserve"> deliberation to succeed in constructing normatively legitimate solutions. </w:t>
      </w:r>
    </w:p>
    <w:p w14:paraId="5C154F76" w14:textId="782CA7DA" w:rsidR="00E3436B" w:rsidRDefault="00ED718D" w:rsidP="009E5DFA">
      <w:pPr>
        <w:spacing w:after="0" w:line="276" w:lineRule="auto"/>
        <w:ind w:firstLine="720"/>
        <w:jc w:val="both"/>
        <w:rPr>
          <w:sz w:val="24"/>
          <w:szCs w:val="24"/>
        </w:rPr>
      </w:pPr>
      <w:r>
        <w:rPr>
          <w:sz w:val="24"/>
          <w:szCs w:val="24"/>
        </w:rPr>
        <w:t xml:space="preserve">The </w:t>
      </w:r>
      <w:r w:rsidR="00DC4CC3">
        <w:rPr>
          <w:sz w:val="24"/>
          <w:szCs w:val="24"/>
        </w:rPr>
        <w:t xml:space="preserve">second part of the second chapter </w:t>
      </w:r>
      <w:r w:rsidR="00F035FF">
        <w:rPr>
          <w:sz w:val="24"/>
          <w:szCs w:val="24"/>
        </w:rPr>
        <w:t xml:space="preserve">has </w:t>
      </w:r>
      <w:r w:rsidR="00DC4CC3">
        <w:rPr>
          <w:sz w:val="24"/>
          <w:szCs w:val="24"/>
        </w:rPr>
        <w:t>provide</w:t>
      </w:r>
      <w:r w:rsidR="00F035FF">
        <w:rPr>
          <w:sz w:val="24"/>
          <w:szCs w:val="24"/>
        </w:rPr>
        <w:t xml:space="preserve">d </w:t>
      </w:r>
      <w:r w:rsidR="00DC4CC3">
        <w:rPr>
          <w:sz w:val="24"/>
          <w:szCs w:val="24"/>
        </w:rPr>
        <w:t xml:space="preserve">an overview of Conflicts Law theory, paving the way for the application of the framework in the following chapters. The third chapter </w:t>
      </w:r>
      <w:r w:rsidR="00F035FF">
        <w:rPr>
          <w:sz w:val="24"/>
          <w:szCs w:val="24"/>
        </w:rPr>
        <w:t xml:space="preserve">has </w:t>
      </w:r>
      <w:r w:rsidR="00DC4CC3">
        <w:rPr>
          <w:sz w:val="24"/>
          <w:szCs w:val="24"/>
        </w:rPr>
        <w:t xml:space="preserve">sketched out some considerations on the transatlantic </w:t>
      </w:r>
      <w:r w:rsidR="003F4E90">
        <w:rPr>
          <w:sz w:val="24"/>
          <w:szCs w:val="24"/>
        </w:rPr>
        <w:t xml:space="preserve">horizontal </w:t>
      </w:r>
      <w:r w:rsidR="00DC4CC3">
        <w:rPr>
          <w:sz w:val="24"/>
          <w:szCs w:val="24"/>
        </w:rPr>
        <w:t>conflict on agricultural biotechnologies</w:t>
      </w:r>
      <w:r w:rsidR="009E5DFA">
        <w:rPr>
          <w:sz w:val="24"/>
          <w:szCs w:val="24"/>
        </w:rPr>
        <w:t>. I</w:t>
      </w:r>
      <w:r w:rsidR="002320C0">
        <w:rPr>
          <w:sz w:val="24"/>
          <w:szCs w:val="24"/>
        </w:rPr>
        <w:t xml:space="preserve">t </w:t>
      </w:r>
      <w:r w:rsidR="00F035FF">
        <w:rPr>
          <w:sz w:val="24"/>
          <w:szCs w:val="24"/>
        </w:rPr>
        <w:t xml:space="preserve">has </w:t>
      </w:r>
      <w:r w:rsidR="00DC4CC3">
        <w:rPr>
          <w:sz w:val="24"/>
          <w:szCs w:val="24"/>
        </w:rPr>
        <w:t>highlight</w:t>
      </w:r>
      <w:r w:rsidR="00F035FF">
        <w:rPr>
          <w:sz w:val="24"/>
          <w:szCs w:val="24"/>
        </w:rPr>
        <w:t>ed</w:t>
      </w:r>
      <w:r w:rsidR="00DC4CC3">
        <w:rPr>
          <w:sz w:val="24"/>
          <w:szCs w:val="24"/>
        </w:rPr>
        <w:t xml:space="preserve"> the unbridgeable normative gap between the regulatory approaches of the US and EU</w:t>
      </w:r>
      <w:r w:rsidR="002320C0">
        <w:rPr>
          <w:sz w:val="24"/>
          <w:szCs w:val="24"/>
        </w:rPr>
        <w:t>,</w:t>
      </w:r>
      <w:r w:rsidR="00DC4CC3">
        <w:rPr>
          <w:sz w:val="24"/>
          <w:szCs w:val="24"/>
        </w:rPr>
        <w:t xml:space="preserve"> and reach</w:t>
      </w:r>
      <w:r w:rsidR="002320C0">
        <w:rPr>
          <w:sz w:val="24"/>
          <w:szCs w:val="24"/>
        </w:rPr>
        <w:t>e</w:t>
      </w:r>
      <w:r w:rsidR="00F035FF">
        <w:rPr>
          <w:sz w:val="24"/>
          <w:szCs w:val="24"/>
        </w:rPr>
        <w:t>d</w:t>
      </w:r>
      <w:r w:rsidR="00DC4CC3">
        <w:rPr>
          <w:sz w:val="24"/>
          <w:szCs w:val="24"/>
        </w:rPr>
        <w:t xml:space="preserve"> the conclusion that deliberation is bound to fail</w:t>
      </w:r>
      <w:r w:rsidR="002320C0">
        <w:rPr>
          <w:sz w:val="24"/>
          <w:szCs w:val="24"/>
        </w:rPr>
        <w:t>. The fourth chapter</w:t>
      </w:r>
      <w:r w:rsidR="00F035FF">
        <w:rPr>
          <w:sz w:val="24"/>
          <w:szCs w:val="24"/>
        </w:rPr>
        <w:t xml:space="preserve"> has</w:t>
      </w:r>
      <w:r w:rsidR="002320C0">
        <w:rPr>
          <w:sz w:val="24"/>
          <w:szCs w:val="24"/>
        </w:rPr>
        <w:t xml:space="preserve"> analyse</w:t>
      </w:r>
      <w:r w:rsidR="00F035FF">
        <w:rPr>
          <w:sz w:val="24"/>
          <w:szCs w:val="24"/>
        </w:rPr>
        <w:t>d</w:t>
      </w:r>
      <w:r w:rsidR="002320C0">
        <w:rPr>
          <w:sz w:val="24"/>
          <w:szCs w:val="24"/>
        </w:rPr>
        <w:t xml:space="preserve"> horizontal and vertical conflicts on agricultural biotechnologies</w:t>
      </w:r>
      <w:r w:rsidR="00737869">
        <w:rPr>
          <w:sz w:val="24"/>
          <w:szCs w:val="24"/>
        </w:rPr>
        <w:t xml:space="preserve"> in the EU</w:t>
      </w:r>
      <w:r w:rsidR="002320C0">
        <w:rPr>
          <w:sz w:val="24"/>
          <w:szCs w:val="24"/>
        </w:rPr>
        <w:t>, illustrating the gap between the approach of EU institutions and EU Member States at the regulatory implementation stage. EU institutions have drawn on an evidence-based approach; lack of conclusive</w:t>
      </w:r>
      <w:r w:rsidR="00F035FF">
        <w:rPr>
          <w:sz w:val="24"/>
          <w:szCs w:val="24"/>
        </w:rPr>
        <w:t>, sound scientific</w:t>
      </w:r>
      <w:r w:rsidR="002320C0">
        <w:rPr>
          <w:sz w:val="24"/>
          <w:szCs w:val="24"/>
        </w:rPr>
        <w:t xml:space="preserve"> proof of specific hazards and risks is all that they have ever taken into consideration. Further, they have consistently ignored political disagreements and societal controversies within and across EU Member States. </w:t>
      </w:r>
      <w:r w:rsidR="00512594">
        <w:rPr>
          <w:sz w:val="24"/>
          <w:szCs w:val="24"/>
        </w:rPr>
        <w:t>By contrast</w:t>
      </w:r>
      <w:r w:rsidR="002320C0">
        <w:rPr>
          <w:sz w:val="24"/>
          <w:szCs w:val="24"/>
        </w:rPr>
        <w:t xml:space="preserve">, </w:t>
      </w:r>
      <w:r w:rsidR="00D21581">
        <w:rPr>
          <w:sz w:val="24"/>
          <w:szCs w:val="24"/>
        </w:rPr>
        <w:t xml:space="preserve">taking enhanced levels of protection, OLFs and the tenets of the precautionary principle into account, </w:t>
      </w:r>
      <w:r w:rsidR="001712A9">
        <w:rPr>
          <w:sz w:val="24"/>
          <w:szCs w:val="24"/>
        </w:rPr>
        <w:t xml:space="preserve">EU </w:t>
      </w:r>
      <w:r w:rsidR="002320C0">
        <w:rPr>
          <w:sz w:val="24"/>
          <w:szCs w:val="24"/>
        </w:rPr>
        <w:t xml:space="preserve">Member States and societal stakeholders have repeatedly </w:t>
      </w:r>
      <w:r w:rsidR="00D6566D">
        <w:rPr>
          <w:sz w:val="24"/>
          <w:szCs w:val="24"/>
        </w:rPr>
        <w:t xml:space="preserve">made the point that the uncertain risks posed by GE organisms are neither </w:t>
      </w:r>
      <w:r w:rsidR="00B76ECB">
        <w:rPr>
          <w:sz w:val="24"/>
          <w:szCs w:val="24"/>
        </w:rPr>
        <w:t xml:space="preserve">socially acceptable nor worth </w:t>
      </w:r>
      <w:r w:rsidR="008141CF">
        <w:rPr>
          <w:sz w:val="24"/>
          <w:szCs w:val="24"/>
        </w:rPr>
        <w:t>taking</w:t>
      </w:r>
      <w:r w:rsidR="00B76ECB">
        <w:rPr>
          <w:sz w:val="24"/>
          <w:szCs w:val="24"/>
        </w:rPr>
        <w:t>.</w:t>
      </w:r>
      <w:r w:rsidR="00D21581">
        <w:rPr>
          <w:sz w:val="24"/>
          <w:szCs w:val="24"/>
        </w:rPr>
        <w:t xml:space="preserve"> Yet again, the conflict is intractable and the normative gap too broad to bridge</w:t>
      </w:r>
      <w:r w:rsidR="001712A9">
        <w:rPr>
          <w:sz w:val="24"/>
          <w:szCs w:val="24"/>
        </w:rPr>
        <w:t xml:space="preserve"> by means of procedural categories</w:t>
      </w:r>
      <w:r w:rsidR="00D21581">
        <w:rPr>
          <w:sz w:val="24"/>
          <w:szCs w:val="24"/>
        </w:rPr>
        <w:t xml:space="preserve">. </w:t>
      </w:r>
    </w:p>
    <w:p w14:paraId="0DA3556D" w14:textId="1C1F61A6" w:rsidR="00E3436B" w:rsidRDefault="00D21581" w:rsidP="0058472F">
      <w:pPr>
        <w:spacing w:after="0" w:line="276" w:lineRule="auto"/>
        <w:ind w:firstLine="720"/>
        <w:jc w:val="both"/>
        <w:rPr>
          <w:sz w:val="24"/>
          <w:szCs w:val="24"/>
        </w:rPr>
      </w:pPr>
      <w:r>
        <w:rPr>
          <w:sz w:val="24"/>
          <w:szCs w:val="24"/>
        </w:rPr>
        <w:t xml:space="preserve">The fifth chapter </w:t>
      </w:r>
      <w:r w:rsidR="00F035FF">
        <w:rPr>
          <w:sz w:val="24"/>
          <w:szCs w:val="24"/>
        </w:rPr>
        <w:t xml:space="preserve">has </w:t>
      </w:r>
      <w:r>
        <w:rPr>
          <w:sz w:val="24"/>
          <w:szCs w:val="24"/>
        </w:rPr>
        <w:t>focused on the</w:t>
      </w:r>
      <w:r w:rsidR="002B0003">
        <w:rPr>
          <w:sz w:val="24"/>
          <w:szCs w:val="24"/>
        </w:rPr>
        <w:t xml:space="preserve"> </w:t>
      </w:r>
      <w:r w:rsidR="002B0003" w:rsidRPr="00512594">
        <w:rPr>
          <w:sz w:val="24"/>
          <w:szCs w:val="24"/>
        </w:rPr>
        <w:t>WTO dispute settlement organs’</w:t>
      </w:r>
      <w:r>
        <w:rPr>
          <w:sz w:val="24"/>
          <w:szCs w:val="24"/>
        </w:rPr>
        <w:t xml:space="preserve"> failure to carve out an adequate procedural meta-norm and construct normatively legitimate solutions to vertical conflicts under the SPS Agreement. By putting the </w:t>
      </w:r>
      <w:r w:rsidRPr="00E3436B">
        <w:rPr>
          <w:sz w:val="24"/>
          <w:szCs w:val="24"/>
        </w:rPr>
        <w:t>material</w:t>
      </w:r>
      <w:r>
        <w:rPr>
          <w:sz w:val="24"/>
          <w:szCs w:val="24"/>
        </w:rPr>
        <w:t xml:space="preserve"> context of the Agreement at the centre of the enquiry, the analysis </w:t>
      </w:r>
      <w:r w:rsidR="00F035FF">
        <w:rPr>
          <w:sz w:val="24"/>
          <w:szCs w:val="24"/>
        </w:rPr>
        <w:t xml:space="preserve">has </w:t>
      </w:r>
      <w:r>
        <w:rPr>
          <w:sz w:val="24"/>
          <w:szCs w:val="24"/>
        </w:rPr>
        <w:t>suggest</w:t>
      </w:r>
      <w:r w:rsidR="00F035FF">
        <w:rPr>
          <w:sz w:val="24"/>
          <w:szCs w:val="24"/>
        </w:rPr>
        <w:t>ed</w:t>
      </w:r>
      <w:r>
        <w:rPr>
          <w:sz w:val="24"/>
          <w:szCs w:val="24"/>
        </w:rPr>
        <w:t xml:space="preserve"> </w:t>
      </w:r>
      <w:r w:rsidR="00E3436B">
        <w:rPr>
          <w:sz w:val="24"/>
          <w:szCs w:val="24"/>
        </w:rPr>
        <w:t xml:space="preserve">that the </w:t>
      </w:r>
      <w:r w:rsidR="002B0003">
        <w:rPr>
          <w:sz w:val="24"/>
          <w:szCs w:val="24"/>
        </w:rPr>
        <w:t xml:space="preserve">evidence-based </w:t>
      </w:r>
      <w:r w:rsidR="00E3436B">
        <w:rPr>
          <w:sz w:val="24"/>
          <w:szCs w:val="24"/>
        </w:rPr>
        <w:t>interpretation of the science-based obligations is unsurprising</w:t>
      </w:r>
      <w:r w:rsidR="00512594">
        <w:rPr>
          <w:sz w:val="24"/>
          <w:szCs w:val="24"/>
        </w:rPr>
        <w:t>: i</w:t>
      </w:r>
      <w:r w:rsidR="00E3436B">
        <w:rPr>
          <w:sz w:val="24"/>
          <w:szCs w:val="24"/>
        </w:rPr>
        <w:t xml:space="preserve">t perfectly responds to the Agreement’s aim </w:t>
      </w:r>
      <w:r w:rsidR="00E3436B">
        <w:rPr>
          <w:sz w:val="24"/>
          <w:szCs w:val="24"/>
        </w:rPr>
        <w:lastRenderedPageBreak/>
        <w:t>to facilitate transnational regulatory convergence</w:t>
      </w:r>
      <w:r w:rsidR="001712A9">
        <w:rPr>
          <w:sz w:val="24"/>
          <w:szCs w:val="24"/>
        </w:rPr>
        <w:t xml:space="preserve"> and </w:t>
      </w:r>
      <w:r w:rsidR="00E3436B">
        <w:rPr>
          <w:sz w:val="24"/>
          <w:szCs w:val="24"/>
        </w:rPr>
        <w:t>foster trade liberalisation. Just like deliberative practices, procedural meta-norms do not exist in a vacuum</w:t>
      </w:r>
      <w:r w:rsidR="001712A9">
        <w:rPr>
          <w:sz w:val="24"/>
          <w:szCs w:val="24"/>
        </w:rPr>
        <w:t xml:space="preserve">. </w:t>
      </w:r>
      <w:r w:rsidR="002B0003">
        <w:rPr>
          <w:sz w:val="24"/>
          <w:szCs w:val="24"/>
        </w:rPr>
        <w:t>R</w:t>
      </w:r>
      <w:r w:rsidR="001712A9">
        <w:rPr>
          <w:sz w:val="24"/>
          <w:szCs w:val="24"/>
        </w:rPr>
        <w:t>ecourse to lato and stricto sensu de novo review must be examined in the broader context of the SPS Agreement and by taking into consideration the Agreement’s overarching goals.</w:t>
      </w:r>
      <w:r w:rsidR="00E3436B">
        <w:rPr>
          <w:sz w:val="24"/>
          <w:szCs w:val="24"/>
        </w:rPr>
        <w:t xml:space="preserve"> Finally, the sixth chapter </w:t>
      </w:r>
      <w:r w:rsidR="00F035FF">
        <w:rPr>
          <w:sz w:val="24"/>
          <w:szCs w:val="24"/>
        </w:rPr>
        <w:t xml:space="preserve">has </w:t>
      </w:r>
      <w:r w:rsidR="00E3436B">
        <w:rPr>
          <w:sz w:val="24"/>
          <w:szCs w:val="24"/>
        </w:rPr>
        <w:t xml:space="preserve">confirmed the normative gap between diametrically opposed </w:t>
      </w:r>
      <w:r w:rsidR="001712A9">
        <w:rPr>
          <w:sz w:val="24"/>
          <w:szCs w:val="24"/>
        </w:rPr>
        <w:t xml:space="preserve">evidence-based and socially acceptable risk </w:t>
      </w:r>
      <w:r w:rsidR="00E3436B">
        <w:rPr>
          <w:sz w:val="24"/>
          <w:szCs w:val="24"/>
        </w:rPr>
        <w:t xml:space="preserve">approaches and emphasised the impossibility </w:t>
      </w:r>
      <w:r w:rsidR="00B216B8">
        <w:rPr>
          <w:sz w:val="24"/>
          <w:szCs w:val="24"/>
        </w:rPr>
        <w:t>of</w:t>
      </w:r>
      <w:r w:rsidR="00E3436B">
        <w:rPr>
          <w:sz w:val="24"/>
          <w:szCs w:val="24"/>
        </w:rPr>
        <w:t xml:space="preserve"> </w:t>
      </w:r>
      <w:r w:rsidR="002B0003">
        <w:rPr>
          <w:sz w:val="24"/>
          <w:szCs w:val="24"/>
        </w:rPr>
        <w:t>re-</w:t>
      </w:r>
      <w:r w:rsidR="00E3436B">
        <w:rPr>
          <w:sz w:val="24"/>
          <w:szCs w:val="24"/>
        </w:rPr>
        <w:t>embed</w:t>
      </w:r>
      <w:r w:rsidR="00B216B8">
        <w:rPr>
          <w:sz w:val="24"/>
          <w:szCs w:val="24"/>
        </w:rPr>
        <w:t>ding</w:t>
      </w:r>
      <w:r w:rsidR="00E3436B">
        <w:rPr>
          <w:sz w:val="24"/>
          <w:szCs w:val="24"/>
        </w:rPr>
        <w:t xml:space="preserve"> hybrid regulatory systems, with a view to solving diagonal conflicts.</w:t>
      </w:r>
    </w:p>
    <w:p w14:paraId="7C50D23D" w14:textId="1039D5CA" w:rsidR="00321B2F" w:rsidRDefault="00847FDD" w:rsidP="0058472F">
      <w:pPr>
        <w:spacing w:after="0" w:line="276" w:lineRule="auto"/>
        <w:ind w:firstLine="720"/>
        <w:jc w:val="both"/>
        <w:rPr>
          <w:sz w:val="24"/>
          <w:szCs w:val="24"/>
        </w:rPr>
      </w:pPr>
      <w:r>
        <w:rPr>
          <w:sz w:val="24"/>
          <w:szCs w:val="24"/>
        </w:rPr>
        <w:t>On these grounds</w:t>
      </w:r>
      <w:r w:rsidR="00B922C4">
        <w:rPr>
          <w:sz w:val="24"/>
          <w:szCs w:val="24"/>
        </w:rPr>
        <w:t xml:space="preserve">, the normative analysis of the book </w:t>
      </w:r>
      <w:r w:rsidR="00321B2F">
        <w:rPr>
          <w:sz w:val="24"/>
          <w:szCs w:val="24"/>
        </w:rPr>
        <w:t>has shown</w:t>
      </w:r>
      <w:r w:rsidR="00B922C4">
        <w:rPr>
          <w:sz w:val="24"/>
          <w:szCs w:val="24"/>
        </w:rPr>
        <w:t xml:space="preserve"> that legal proceduralisation and Conflicts Law are bound to fail in the case of GE organisms;</w:t>
      </w:r>
      <w:r w:rsidR="008A32EE">
        <w:rPr>
          <w:sz w:val="24"/>
          <w:szCs w:val="24"/>
        </w:rPr>
        <w:t xml:space="preserve"> the normative gap </w:t>
      </w:r>
      <w:r w:rsidR="0049162C">
        <w:rPr>
          <w:sz w:val="24"/>
          <w:szCs w:val="24"/>
        </w:rPr>
        <w:t xml:space="preserve">between hegemonic and counter-hegemonic discourses </w:t>
      </w:r>
      <w:r w:rsidR="008A32EE">
        <w:rPr>
          <w:sz w:val="24"/>
          <w:szCs w:val="24"/>
        </w:rPr>
        <w:t>is unbridgeable.</w:t>
      </w:r>
      <w:r w:rsidR="0049162C">
        <w:rPr>
          <w:sz w:val="24"/>
          <w:szCs w:val="24"/>
        </w:rPr>
        <w:t xml:space="preserve"> Legal </w:t>
      </w:r>
      <w:r>
        <w:rPr>
          <w:sz w:val="24"/>
          <w:szCs w:val="24"/>
        </w:rPr>
        <w:t>procedural</w:t>
      </w:r>
      <w:r w:rsidR="0049162C">
        <w:rPr>
          <w:sz w:val="24"/>
          <w:szCs w:val="24"/>
        </w:rPr>
        <w:t xml:space="preserve"> categories cannot possibly</w:t>
      </w:r>
      <w:r w:rsidR="008F5545">
        <w:rPr>
          <w:sz w:val="24"/>
          <w:szCs w:val="24"/>
        </w:rPr>
        <w:t xml:space="preserve"> succeed in </w:t>
      </w:r>
      <w:r w:rsidR="003D621A">
        <w:rPr>
          <w:sz w:val="24"/>
          <w:szCs w:val="24"/>
        </w:rPr>
        <w:t>constructing</w:t>
      </w:r>
      <w:r w:rsidR="008F5545">
        <w:rPr>
          <w:sz w:val="24"/>
          <w:szCs w:val="24"/>
        </w:rPr>
        <w:t xml:space="preserve"> </w:t>
      </w:r>
      <w:r w:rsidR="003D621A">
        <w:rPr>
          <w:sz w:val="24"/>
          <w:szCs w:val="24"/>
        </w:rPr>
        <w:t>normatively legitimate solutions</w:t>
      </w:r>
      <w:r>
        <w:rPr>
          <w:sz w:val="24"/>
          <w:szCs w:val="24"/>
        </w:rPr>
        <w:t xml:space="preserve"> and h</w:t>
      </w:r>
      <w:r w:rsidR="0049162C">
        <w:rPr>
          <w:sz w:val="24"/>
          <w:szCs w:val="24"/>
        </w:rPr>
        <w:t xml:space="preserve">orizontal, vertical and diagonal conflicts are destined to </w:t>
      </w:r>
      <w:r w:rsidR="003D621A">
        <w:rPr>
          <w:sz w:val="24"/>
          <w:szCs w:val="24"/>
        </w:rPr>
        <w:t>remain un</w:t>
      </w:r>
      <w:r w:rsidR="00607338">
        <w:rPr>
          <w:sz w:val="24"/>
          <w:szCs w:val="24"/>
        </w:rPr>
        <w:t>re</w:t>
      </w:r>
      <w:r w:rsidR="003D621A">
        <w:rPr>
          <w:sz w:val="24"/>
          <w:szCs w:val="24"/>
        </w:rPr>
        <w:t>solved.</w:t>
      </w:r>
      <w:r>
        <w:rPr>
          <w:sz w:val="24"/>
          <w:szCs w:val="24"/>
        </w:rPr>
        <w:t xml:space="preserve"> Perhaps more importantly, however, the normative analysis of the book has </w:t>
      </w:r>
      <w:r w:rsidR="00321B2F">
        <w:rPr>
          <w:sz w:val="24"/>
          <w:szCs w:val="24"/>
        </w:rPr>
        <w:t>developed</w:t>
      </w:r>
      <w:r>
        <w:rPr>
          <w:sz w:val="24"/>
          <w:szCs w:val="24"/>
        </w:rPr>
        <w:t xml:space="preserve"> a different point. The book has suggested that the success of</w:t>
      </w:r>
      <w:r w:rsidR="00AF4425">
        <w:rPr>
          <w:sz w:val="24"/>
          <w:szCs w:val="24"/>
        </w:rPr>
        <w:t xml:space="preserve"> truly</w:t>
      </w:r>
      <w:r>
        <w:rPr>
          <w:sz w:val="24"/>
          <w:szCs w:val="24"/>
        </w:rPr>
        <w:t xml:space="preserve"> deliberat</w:t>
      </w:r>
      <w:r w:rsidR="00F677B1">
        <w:rPr>
          <w:sz w:val="24"/>
          <w:szCs w:val="24"/>
        </w:rPr>
        <w:t>ive practices</w:t>
      </w:r>
      <w:r>
        <w:rPr>
          <w:sz w:val="24"/>
          <w:szCs w:val="24"/>
        </w:rPr>
        <w:t>, the successful</w:t>
      </w:r>
      <w:r w:rsidR="00F677B1">
        <w:rPr>
          <w:sz w:val="24"/>
          <w:szCs w:val="24"/>
        </w:rPr>
        <w:t xml:space="preserve"> identification of a procedural meta-norm and the successful solution of diagonal conflicts are a </w:t>
      </w:r>
      <w:r w:rsidR="00F677B1" w:rsidRPr="00F677B1">
        <w:rPr>
          <w:i/>
          <w:iCs/>
          <w:sz w:val="24"/>
          <w:szCs w:val="24"/>
        </w:rPr>
        <w:t>procedural</w:t>
      </w:r>
      <w:r w:rsidR="00F677B1">
        <w:rPr>
          <w:sz w:val="24"/>
          <w:szCs w:val="24"/>
        </w:rPr>
        <w:t xml:space="preserve"> reflection of </w:t>
      </w:r>
      <w:r w:rsidR="00320930">
        <w:rPr>
          <w:sz w:val="24"/>
          <w:szCs w:val="24"/>
        </w:rPr>
        <w:t xml:space="preserve">a set of </w:t>
      </w:r>
      <w:r w:rsidR="00321B2F">
        <w:rPr>
          <w:sz w:val="24"/>
          <w:szCs w:val="24"/>
        </w:rPr>
        <w:t xml:space="preserve">pre-existing </w:t>
      </w:r>
      <w:r w:rsidR="000B1CF5" w:rsidRPr="00321B2F">
        <w:rPr>
          <w:i/>
          <w:iCs/>
          <w:sz w:val="24"/>
          <w:szCs w:val="24"/>
        </w:rPr>
        <w:t>substantive</w:t>
      </w:r>
      <w:r w:rsidR="000B1CF5">
        <w:rPr>
          <w:sz w:val="24"/>
          <w:szCs w:val="24"/>
        </w:rPr>
        <w:t xml:space="preserve"> conditions.</w:t>
      </w:r>
      <w:r w:rsidR="00320930">
        <w:rPr>
          <w:sz w:val="24"/>
          <w:szCs w:val="24"/>
        </w:rPr>
        <w:t xml:space="preserve"> </w:t>
      </w:r>
      <w:r w:rsidR="00321B2F">
        <w:rPr>
          <w:sz w:val="24"/>
          <w:szCs w:val="24"/>
        </w:rPr>
        <w:t xml:space="preserve">In respect of </w:t>
      </w:r>
      <w:r w:rsidR="00321B2F" w:rsidRPr="00512594">
        <w:rPr>
          <w:sz w:val="24"/>
          <w:szCs w:val="24"/>
        </w:rPr>
        <w:t>procedural</w:t>
      </w:r>
      <w:r w:rsidR="00321B2F">
        <w:rPr>
          <w:sz w:val="24"/>
          <w:szCs w:val="24"/>
        </w:rPr>
        <w:t xml:space="preserve"> deliberation, in particular, the salient </w:t>
      </w:r>
      <w:r w:rsidR="00321B2F" w:rsidRPr="00512594">
        <w:rPr>
          <w:sz w:val="24"/>
          <w:szCs w:val="24"/>
        </w:rPr>
        <w:t>substantive</w:t>
      </w:r>
      <w:r w:rsidR="00321B2F">
        <w:rPr>
          <w:sz w:val="24"/>
          <w:szCs w:val="24"/>
        </w:rPr>
        <w:t xml:space="preserve"> precondition appears to</w:t>
      </w:r>
      <w:r w:rsidR="00F035FF">
        <w:rPr>
          <w:sz w:val="24"/>
          <w:szCs w:val="24"/>
        </w:rPr>
        <w:t xml:space="preserve"> be</w:t>
      </w:r>
      <w:r w:rsidR="00321B2F">
        <w:rPr>
          <w:sz w:val="24"/>
          <w:szCs w:val="24"/>
        </w:rPr>
        <w:t xml:space="preserve"> the existence of shared values, goals and perspectives. From this perspective, procedural deliberation and legal proceduralisation </w:t>
      </w:r>
      <w:r w:rsidR="00321B2F" w:rsidRPr="00512594">
        <w:rPr>
          <w:sz w:val="24"/>
          <w:szCs w:val="24"/>
        </w:rPr>
        <w:t>can</w:t>
      </w:r>
      <w:r w:rsidR="00321B2F">
        <w:rPr>
          <w:sz w:val="24"/>
          <w:szCs w:val="24"/>
        </w:rPr>
        <w:t xml:space="preserve"> work</w:t>
      </w:r>
      <w:r w:rsidR="0058472F">
        <w:rPr>
          <w:sz w:val="24"/>
          <w:szCs w:val="24"/>
        </w:rPr>
        <w:t>. H</w:t>
      </w:r>
      <w:r w:rsidR="00321B2F">
        <w:rPr>
          <w:sz w:val="24"/>
          <w:szCs w:val="24"/>
        </w:rPr>
        <w:t xml:space="preserve">owever, their success largely </w:t>
      </w:r>
      <w:r w:rsidR="00F035FF">
        <w:rPr>
          <w:sz w:val="24"/>
          <w:szCs w:val="24"/>
        </w:rPr>
        <w:t xml:space="preserve">relies </w:t>
      </w:r>
      <w:r w:rsidR="00321B2F">
        <w:rPr>
          <w:sz w:val="24"/>
          <w:szCs w:val="24"/>
        </w:rPr>
        <w:t xml:space="preserve">on (and reflects) pre-existing substantive </w:t>
      </w:r>
      <w:r w:rsidR="001712A9">
        <w:rPr>
          <w:sz w:val="24"/>
          <w:szCs w:val="24"/>
        </w:rPr>
        <w:t>factors</w:t>
      </w:r>
      <w:r w:rsidR="00321B2F">
        <w:rPr>
          <w:sz w:val="24"/>
          <w:szCs w:val="24"/>
        </w:rPr>
        <w:t>.</w:t>
      </w:r>
    </w:p>
    <w:p w14:paraId="7DC8F007" w14:textId="5432A752" w:rsidR="00FE34DE" w:rsidRDefault="00321B2F" w:rsidP="00D72D95">
      <w:pPr>
        <w:spacing w:after="0" w:line="276" w:lineRule="auto"/>
        <w:ind w:firstLine="720"/>
        <w:jc w:val="both"/>
        <w:rPr>
          <w:sz w:val="24"/>
          <w:szCs w:val="24"/>
        </w:rPr>
      </w:pPr>
      <w:r>
        <w:rPr>
          <w:sz w:val="24"/>
          <w:szCs w:val="24"/>
        </w:rPr>
        <w:t>This has two implications.</w:t>
      </w:r>
      <w:r w:rsidR="00676697">
        <w:rPr>
          <w:sz w:val="24"/>
          <w:szCs w:val="24"/>
        </w:rPr>
        <w:t xml:space="preserve"> First, the </w:t>
      </w:r>
      <w:r w:rsidR="00FE34DE">
        <w:rPr>
          <w:sz w:val="24"/>
          <w:szCs w:val="24"/>
        </w:rPr>
        <w:t>struggle</w:t>
      </w:r>
      <w:r w:rsidR="00676697">
        <w:rPr>
          <w:sz w:val="24"/>
          <w:szCs w:val="24"/>
        </w:rPr>
        <w:t xml:space="preserve"> to </w:t>
      </w:r>
      <w:r w:rsidR="00676697" w:rsidRPr="00676697">
        <w:rPr>
          <w:i/>
          <w:iCs/>
          <w:sz w:val="24"/>
          <w:szCs w:val="24"/>
        </w:rPr>
        <w:t>construct</w:t>
      </w:r>
      <w:r w:rsidR="00676697">
        <w:rPr>
          <w:sz w:val="24"/>
          <w:szCs w:val="24"/>
        </w:rPr>
        <w:t xml:space="preserve"> normatively legitimate solution</w:t>
      </w:r>
      <w:r w:rsidR="00671FA9">
        <w:rPr>
          <w:sz w:val="24"/>
          <w:szCs w:val="24"/>
        </w:rPr>
        <w:t>s</w:t>
      </w:r>
      <w:r w:rsidR="00676697">
        <w:rPr>
          <w:sz w:val="24"/>
          <w:szCs w:val="24"/>
        </w:rPr>
        <w:t xml:space="preserve"> </w:t>
      </w:r>
      <w:r w:rsidR="00E647E6">
        <w:rPr>
          <w:sz w:val="24"/>
          <w:szCs w:val="24"/>
        </w:rPr>
        <w:t>through</w:t>
      </w:r>
      <w:r w:rsidR="00676697">
        <w:rPr>
          <w:sz w:val="24"/>
          <w:szCs w:val="24"/>
        </w:rPr>
        <w:t xml:space="preserve"> </w:t>
      </w:r>
      <w:r w:rsidR="00676697" w:rsidRPr="00676697">
        <w:rPr>
          <w:i/>
          <w:iCs/>
          <w:sz w:val="24"/>
          <w:szCs w:val="24"/>
        </w:rPr>
        <w:t>procedural</w:t>
      </w:r>
      <w:r w:rsidR="00676697">
        <w:rPr>
          <w:sz w:val="24"/>
          <w:szCs w:val="24"/>
        </w:rPr>
        <w:t xml:space="preserve"> legal categories should be complemented by a </w:t>
      </w:r>
      <w:r w:rsidR="00676697" w:rsidRPr="00676697">
        <w:rPr>
          <w:i/>
          <w:iCs/>
          <w:sz w:val="24"/>
          <w:szCs w:val="24"/>
        </w:rPr>
        <w:t>substantive</w:t>
      </w:r>
      <w:r w:rsidR="00676697">
        <w:rPr>
          <w:sz w:val="24"/>
          <w:szCs w:val="24"/>
        </w:rPr>
        <w:t xml:space="preserve"> </w:t>
      </w:r>
      <w:r w:rsidR="00676697" w:rsidRPr="00676697">
        <w:rPr>
          <w:i/>
          <w:iCs/>
          <w:sz w:val="24"/>
          <w:szCs w:val="24"/>
        </w:rPr>
        <w:t>deconstruction</w:t>
      </w:r>
      <w:r w:rsidR="00676697">
        <w:rPr>
          <w:sz w:val="24"/>
          <w:szCs w:val="24"/>
        </w:rPr>
        <w:t xml:space="preserve"> of regulatory approaches and legal systems, with a view to identifying the different perspectives involved, the values and interests at stake and the goals pursued</w:t>
      </w:r>
      <w:r w:rsidR="00512594">
        <w:rPr>
          <w:sz w:val="24"/>
          <w:szCs w:val="24"/>
        </w:rPr>
        <w:t>. T</w:t>
      </w:r>
      <w:r w:rsidR="00671FA9">
        <w:rPr>
          <w:sz w:val="24"/>
          <w:szCs w:val="24"/>
        </w:rPr>
        <w:t xml:space="preserve">his can shed some light on the </w:t>
      </w:r>
      <w:r w:rsidR="00671FA9" w:rsidRPr="00512594">
        <w:rPr>
          <w:sz w:val="24"/>
          <w:szCs w:val="24"/>
        </w:rPr>
        <w:t xml:space="preserve">margins of success of </w:t>
      </w:r>
      <w:r w:rsidR="008351DF" w:rsidRPr="00512594">
        <w:rPr>
          <w:sz w:val="24"/>
          <w:szCs w:val="24"/>
        </w:rPr>
        <w:t>deliberation and legal proceduralisation</w:t>
      </w:r>
      <w:r w:rsidR="00FF7133" w:rsidRPr="00512594">
        <w:rPr>
          <w:sz w:val="24"/>
          <w:szCs w:val="24"/>
        </w:rPr>
        <w:t xml:space="preserve">. </w:t>
      </w:r>
      <w:r w:rsidR="00676697" w:rsidRPr="00512594">
        <w:rPr>
          <w:sz w:val="24"/>
          <w:szCs w:val="24"/>
        </w:rPr>
        <w:t>This is the form of analysis conducted throughout</w:t>
      </w:r>
      <w:r w:rsidR="00676697">
        <w:rPr>
          <w:sz w:val="24"/>
          <w:szCs w:val="24"/>
        </w:rPr>
        <w:t xml:space="preserve"> the institutional strand of enquiry of the book. For example, identifying where different approaches to regulation and regulatory implementation are located on the spectrum between evidence-based and socially acceptable risk models provides indications </w:t>
      </w:r>
      <w:r w:rsidR="003F4E90">
        <w:rPr>
          <w:sz w:val="24"/>
          <w:szCs w:val="24"/>
        </w:rPr>
        <w:t>on the prospects of deliberation</w:t>
      </w:r>
      <w:r w:rsidR="001712A9">
        <w:rPr>
          <w:sz w:val="24"/>
          <w:szCs w:val="24"/>
        </w:rPr>
        <w:t xml:space="preserve"> between different actors</w:t>
      </w:r>
      <w:r w:rsidR="00D72D95">
        <w:rPr>
          <w:sz w:val="24"/>
          <w:szCs w:val="24"/>
        </w:rPr>
        <w:t>. T</w:t>
      </w:r>
      <w:r w:rsidR="00FF7133">
        <w:rPr>
          <w:sz w:val="24"/>
          <w:szCs w:val="24"/>
        </w:rPr>
        <w:t>h</w:t>
      </w:r>
      <w:r w:rsidR="00676697">
        <w:rPr>
          <w:sz w:val="24"/>
          <w:szCs w:val="24"/>
        </w:rPr>
        <w:t>is kind of analysis has informed the enquiry into the transatlantic</w:t>
      </w:r>
      <w:r w:rsidR="003F4E90">
        <w:rPr>
          <w:sz w:val="24"/>
          <w:szCs w:val="24"/>
        </w:rPr>
        <w:t xml:space="preserve"> horizontal</w:t>
      </w:r>
      <w:r w:rsidR="00676697">
        <w:rPr>
          <w:sz w:val="24"/>
          <w:szCs w:val="24"/>
        </w:rPr>
        <w:t xml:space="preserve"> </w:t>
      </w:r>
      <w:r w:rsidR="003F4E90">
        <w:rPr>
          <w:sz w:val="24"/>
          <w:szCs w:val="24"/>
        </w:rPr>
        <w:t xml:space="preserve">conflict and EU-wide horizontal and vertical conflicts. </w:t>
      </w:r>
      <w:r w:rsidR="00676697">
        <w:rPr>
          <w:sz w:val="24"/>
          <w:szCs w:val="24"/>
        </w:rPr>
        <w:t>In a similar vein, an analysis of the material context</w:t>
      </w:r>
      <w:r w:rsidR="003F4E90">
        <w:rPr>
          <w:sz w:val="24"/>
          <w:szCs w:val="24"/>
        </w:rPr>
        <w:t xml:space="preserve"> of a legal system</w:t>
      </w:r>
      <w:r w:rsidR="00676697">
        <w:rPr>
          <w:sz w:val="24"/>
          <w:szCs w:val="24"/>
        </w:rPr>
        <w:t xml:space="preserve"> can give</w:t>
      </w:r>
      <w:r w:rsidR="003F4E90">
        <w:rPr>
          <w:sz w:val="24"/>
          <w:szCs w:val="24"/>
        </w:rPr>
        <w:t xml:space="preserve"> some</w:t>
      </w:r>
      <w:r w:rsidR="00676697">
        <w:rPr>
          <w:sz w:val="24"/>
          <w:szCs w:val="24"/>
        </w:rPr>
        <w:t xml:space="preserve"> hints on</w:t>
      </w:r>
      <w:r w:rsidR="003F4E90">
        <w:rPr>
          <w:sz w:val="24"/>
          <w:szCs w:val="24"/>
        </w:rPr>
        <w:t xml:space="preserve"> the potential identification of a procedural </w:t>
      </w:r>
      <w:r w:rsidR="00676697">
        <w:rPr>
          <w:sz w:val="24"/>
          <w:szCs w:val="24"/>
        </w:rPr>
        <w:t>meta-norm</w:t>
      </w:r>
      <w:r w:rsidR="00D72D95">
        <w:rPr>
          <w:sz w:val="24"/>
          <w:szCs w:val="24"/>
        </w:rPr>
        <w:t>. T</w:t>
      </w:r>
      <w:r w:rsidR="003F4E90">
        <w:rPr>
          <w:sz w:val="24"/>
          <w:szCs w:val="24"/>
        </w:rPr>
        <w:t xml:space="preserve">his deconstruction has been at the centre of the enquiry into the interpretation of the SPS Agreement. </w:t>
      </w:r>
      <w:r w:rsidR="00FE34DE">
        <w:rPr>
          <w:sz w:val="24"/>
          <w:szCs w:val="24"/>
        </w:rPr>
        <w:t xml:space="preserve">On these grounds, the deconstruction stage complements and paves the way for procedural </w:t>
      </w:r>
      <w:r w:rsidR="001712A9">
        <w:rPr>
          <w:sz w:val="24"/>
          <w:szCs w:val="24"/>
        </w:rPr>
        <w:t>reconstruction</w:t>
      </w:r>
      <w:r w:rsidR="00FE34DE">
        <w:rPr>
          <w:sz w:val="24"/>
          <w:szCs w:val="24"/>
        </w:rPr>
        <w:t xml:space="preserve">. </w:t>
      </w:r>
    </w:p>
    <w:p w14:paraId="67041E3C" w14:textId="48CDC283" w:rsidR="004E310A" w:rsidRDefault="003F4E90" w:rsidP="00D72D95">
      <w:pPr>
        <w:spacing w:after="0" w:line="276" w:lineRule="auto"/>
        <w:ind w:firstLine="720"/>
        <w:jc w:val="both"/>
        <w:rPr>
          <w:sz w:val="24"/>
          <w:szCs w:val="24"/>
        </w:rPr>
      </w:pPr>
      <w:r>
        <w:rPr>
          <w:sz w:val="24"/>
          <w:szCs w:val="24"/>
        </w:rPr>
        <w:t xml:space="preserve">Secondly, this </w:t>
      </w:r>
      <w:r w:rsidRPr="002478FF">
        <w:rPr>
          <w:sz w:val="24"/>
          <w:szCs w:val="24"/>
        </w:rPr>
        <w:t>substantive deconstruction</w:t>
      </w:r>
      <w:r>
        <w:rPr>
          <w:sz w:val="24"/>
          <w:szCs w:val="24"/>
        </w:rPr>
        <w:t xml:space="preserve"> of regulatory approaches </w:t>
      </w:r>
      <w:r w:rsidR="002478FF">
        <w:rPr>
          <w:sz w:val="24"/>
          <w:szCs w:val="24"/>
        </w:rPr>
        <w:t xml:space="preserve">and identification of </w:t>
      </w:r>
      <w:r>
        <w:rPr>
          <w:sz w:val="24"/>
          <w:szCs w:val="24"/>
        </w:rPr>
        <w:t>the</w:t>
      </w:r>
      <w:r w:rsidR="002478FF">
        <w:rPr>
          <w:sz w:val="24"/>
          <w:szCs w:val="24"/>
        </w:rPr>
        <w:t xml:space="preserve"> </w:t>
      </w:r>
      <w:r>
        <w:rPr>
          <w:sz w:val="24"/>
          <w:szCs w:val="24"/>
        </w:rPr>
        <w:t xml:space="preserve">values and interests at stake </w:t>
      </w:r>
      <w:r w:rsidR="002478FF">
        <w:rPr>
          <w:sz w:val="24"/>
          <w:szCs w:val="24"/>
        </w:rPr>
        <w:t xml:space="preserve">can save legal proceduralisation from the “technocratic trap”. As </w:t>
      </w:r>
      <w:r w:rsidR="00AA1E6C">
        <w:rPr>
          <w:sz w:val="24"/>
          <w:szCs w:val="24"/>
        </w:rPr>
        <w:t>noted</w:t>
      </w:r>
      <w:r w:rsidR="002478FF">
        <w:rPr>
          <w:sz w:val="24"/>
          <w:szCs w:val="24"/>
        </w:rPr>
        <w:t xml:space="preserve"> since the first and second chapters, </w:t>
      </w:r>
      <w:r w:rsidR="00725201">
        <w:rPr>
          <w:sz w:val="24"/>
          <w:szCs w:val="24"/>
        </w:rPr>
        <w:t xml:space="preserve">a focus on governance arrangements, deliberative practices and legal procedural categories can easily obscure the substantive political, socio-economic and distributional stakes underlying regulatory conflicts. </w:t>
      </w:r>
      <w:r w:rsidR="00BE696B">
        <w:rPr>
          <w:sz w:val="24"/>
          <w:szCs w:val="24"/>
        </w:rPr>
        <w:t>In this sense, i</w:t>
      </w:r>
      <w:r w:rsidR="00725201">
        <w:rPr>
          <w:sz w:val="24"/>
          <w:szCs w:val="24"/>
        </w:rPr>
        <w:t xml:space="preserve">nsofar as agreement is pursued as a “goal” </w:t>
      </w:r>
      <w:r w:rsidR="00BE696B">
        <w:rPr>
          <w:sz w:val="24"/>
          <w:szCs w:val="24"/>
        </w:rPr>
        <w:t xml:space="preserve">and the assumption is that any conflict </w:t>
      </w:r>
      <w:r w:rsidR="00BE696B" w:rsidRPr="00A24CA1">
        <w:rPr>
          <w:i/>
          <w:iCs/>
          <w:sz w:val="24"/>
          <w:szCs w:val="24"/>
        </w:rPr>
        <w:t>can</w:t>
      </w:r>
      <w:r w:rsidR="00BE696B">
        <w:rPr>
          <w:sz w:val="24"/>
          <w:szCs w:val="24"/>
        </w:rPr>
        <w:t xml:space="preserve"> and </w:t>
      </w:r>
      <w:r w:rsidR="00BE696B" w:rsidRPr="00A24CA1">
        <w:rPr>
          <w:i/>
          <w:iCs/>
          <w:sz w:val="24"/>
          <w:szCs w:val="24"/>
        </w:rPr>
        <w:t>should</w:t>
      </w:r>
      <w:r w:rsidR="00BE696B">
        <w:rPr>
          <w:sz w:val="24"/>
          <w:szCs w:val="24"/>
        </w:rPr>
        <w:t xml:space="preserve"> be solved, </w:t>
      </w:r>
      <w:r w:rsidR="00725201">
        <w:rPr>
          <w:sz w:val="24"/>
          <w:szCs w:val="24"/>
        </w:rPr>
        <w:t>modern procedural deliberative accounts incorporate a technocratic element.</w:t>
      </w:r>
      <w:r w:rsidR="00725201">
        <w:rPr>
          <w:rStyle w:val="Rimandonotaapidipagina"/>
          <w:sz w:val="24"/>
          <w:szCs w:val="24"/>
        </w:rPr>
        <w:footnoteReference w:id="11"/>
      </w:r>
      <w:r w:rsidR="00BE696B">
        <w:rPr>
          <w:sz w:val="24"/>
          <w:szCs w:val="24"/>
        </w:rPr>
        <w:t xml:space="preserve"> If the </w:t>
      </w:r>
      <w:r w:rsidR="004E310A">
        <w:rPr>
          <w:sz w:val="24"/>
          <w:szCs w:val="24"/>
        </w:rPr>
        <w:lastRenderedPageBreak/>
        <w:t>relevant</w:t>
      </w:r>
      <w:r w:rsidR="00BE696B">
        <w:rPr>
          <w:sz w:val="24"/>
          <w:szCs w:val="24"/>
        </w:rPr>
        <w:t xml:space="preserve"> substantive </w:t>
      </w:r>
      <w:r w:rsidR="004E310A">
        <w:rPr>
          <w:sz w:val="24"/>
          <w:szCs w:val="24"/>
        </w:rPr>
        <w:t>stakes</w:t>
      </w:r>
      <w:r w:rsidR="00BE696B">
        <w:rPr>
          <w:sz w:val="24"/>
          <w:szCs w:val="24"/>
        </w:rPr>
        <w:t xml:space="preserve"> are </w:t>
      </w:r>
      <w:r w:rsidR="004E310A">
        <w:rPr>
          <w:sz w:val="24"/>
          <w:szCs w:val="24"/>
        </w:rPr>
        <w:t>neglected, t</w:t>
      </w:r>
      <w:r w:rsidR="00BE696B">
        <w:rPr>
          <w:sz w:val="24"/>
          <w:szCs w:val="24"/>
        </w:rPr>
        <w:t xml:space="preserve">echnocratic agreement may </w:t>
      </w:r>
      <w:r w:rsidR="00DF7AA7">
        <w:rPr>
          <w:sz w:val="24"/>
          <w:szCs w:val="24"/>
        </w:rPr>
        <w:t xml:space="preserve">be </w:t>
      </w:r>
      <w:r w:rsidR="004E310A">
        <w:rPr>
          <w:sz w:val="24"/>
          <w:szCs w:val="24"/>
        </w:rPr>
        <w:t>mistaken for political deliberation</w:t>
      </w:r>
      <w:r w:rsidR="00512594">
        <w:rPr>
          <w:sz w:val="24"/>
          <w:szCs w:val="24"/>
        </w:rPr>
        <w:t>. I</w:t>
      </w:r>
      <w:r w:rsidR="00717701">
        <w:rPr>
          <w:sz w:val="24"/>
          <w:szCs w:val="24"/>
        </w:rPr>
        <w:t xml:space="preserve">n a similar vein, lowest common denominator </w:t>
      </w:r>
      <w:r w:rsidR="00DF7AA7">
        <w:rPr>
          <w:sz w:val="24"/>
          <w:szCs w:val="24"/>
        </w:rPr>
        <w:t>compromises may be considered an</w:t>
      </w:r>
      <w:r w:rsidR="006F1C6C">
        <w:rPr>
          <w:sz w:val="24"/>
          <w:szCs w:val="24"/>
        </w:rPr>
        <w:t xml:space="preserve"> </w:t>
      </w:r>
      <w:r w:rsidR="00DF7AA7">
        <w:rPr>
          <w:sz w:val="24"/>
          <w:szCs w:val="24"/>
        </w:rPr>
        <w:t xml:space="preserve">expression of deliberative practices. </w:t>
      </w:r>
      <w:r w:rsidR="004E310A">
        <w:rPr>
          <w:sz w:val="24"/>
          <w:szCs w:val="24"/>
        </w:rPr>
        <w:t>T</w:t>
      </w:r>
      <w:r w:rsidR="00DF7AA7">
        <w:rPr>
          <w:sz w:val="24"/>
          <w:szCs w:val="24"/>
        </w:rPr>
        <w:t>r</w:t>
      </w:r>
      <w:r w:rsidR="004E310A">
        <w:rPr>
          <w:sz w:val="24"/>
          <w:szCs w:val="24"/>
        </w:rPr>
        <w:t xml:space="preserve">ansatlantic negotiations on agricultural biotechnologies or the procedural compromise underlying the 2015 EU reform </w:t>
      </w:r>
      <w:r w:rsidR="00DF7AA7">
        <w:rPr>
          <w:sz w:val="24"/>
          <w:szCs w:val="24"/>
        </w:rPr>
        <w:t>offer some examples.</w:t>
      </w:r>
    </w:p>
    <w:p w14:paraId="390F121D" w14:textId="06C0474D" w:rsidR="00933E5B" w:rsidRDefault="00DF7AA7" w:rsidP="00D72D95">
      <w:pPr>
        <w:spacing w:after="0" w:line="276" w:lineRule="auto"/>
        <w:ind w:firstLine="720"/>
        <w:jc w:val="both"/>
        <w:rPr>
          <w:sz w:val="24"/>
          <w:szCs w:val="24"/>
        </w:rPr>
      </w:pPr>
      <w:r>
        <w:rPr>
          <w:sz w:val="24"/>
          <w:szCs w:val="24"/>
        </w:rPr>
        <w:t xml:space="preserve">Against this overall backdrop, it is all the more </w:t>
      </w:r>
      <w:r w:rsidR="00BE696B">
        <w:rPr>
          <w:sz w:val="24"/>
          <w:szCs w:val="24"/>
        </w:rPr>
        <w:t xml:space="preserve">important that procedural </w:t>
      </w:r>
      <w:r w:rsidR="004E310A">
        <w:rPr>
          <w:sz w:val="24"/>
          <w:szCs w:val="24"/>
        </w:rPr>
        <w:t>analysis is preceded and complemented by</w:t>
      </w:r>
      <w:r>
        <w:rPr>
          <w:sz w:val="24"/>
          <w:szCs w:val="24"/>
        </w:rPr>
        <w:t xml:space="preserve"> </w:t>
      </w:r>
      <w:r w:rsidR="00671FA9">
        <w:rPr>
          <w:sz w:val="24"/>
          <w:szCs w:val="24"/>
        </w:rPr>
        <w:t xml:space="preserve">a </w:t>
      </w:r>
      <w:r>
        <w:rPr>
          <w:sz w:val="24"/>
          <w:szCs w:val="24"/>
        </w:rPr>
        <w:t xml:space="preserve">substantive </w:t>
      </w:r>
      <w:r w:rsidR="00671FA9">
        <w:rPr>
          <w:sz w:val="24"/>
          <w:szCs w:val="24"/>
        </w:rPr>
        <w:t xml:space="preserve">enquiry and </w:t>
      </w:r>
      <w:r>
        <w:rPr>
          <w:sz w:val="24"/>
          <w:szCs w:val="24"/>
        </w:rPr>
        <w:t>deconstruction</w:t>
      </w:r>
      <w:r w:rsidR="00671FA9">
        <w:rPr>
          <w:sz w:val="24"/>
          <w:szCs w:val="24"/>
        </w:rPr>
        <w:t xml:space="preserve">. </w:t>
      </w:r>
      <w:r w:rsidR="00FF7133">
        <w:rPr>
          <w:sz w:val="24"/>
          <w:szCs w:val="24"/>
        </w:rPr>
        <w:t>This form of analysis can cast some light on the margins of success of legal proceduralisation, and help draw a clearer distinction between technocratic agreement and genuine deliberation.</w:t>
      </w:r>
      <w:r w:rsidR="00DB5519">
        <w:rPr>
          <w:sz w:val="24"/>
          <w:szCs w:val="24"/>
        </w:rPr>
        <w:t xml:space="preserve"> </w:t>
      </w:r>
      <w:r w:rsidR="005F5166">
        <w:rPr>
          <w:sz w:val="24"/>
          <w:szCs w:val="24"/>
        </w:rPr>
        <w:t>A</w:t>
      </w:r>
      <w:r w:rsidR="00DB5519">
        <w:rPr>
          <w:sz w:val="24"/>
          <w:szCs w:val="24"/>
        </w:rPr>
        <w:t xml:space="preserve">greement should neither be pursued at all costs, nor be framed as </w:t>
      </w:r>
      <w:r w:rsidR="005F5166">
        <w:rPr>
          <w:sz w:val="24"/>
          <w:szCs w:val="24"/>
        </w:rPr>
        <w:t>an</w:t>
      </w:r>
      <w:r w:rsidR="00DB5519">
        <w:rPr>
          <w:sz w:val="24"/>
          <w:szCs w:val="24"/>
        </w:rPr>
        <w:t xml:space="preserve"> overarching goal</w:t>
      </w:r>
      <w:r w:rsidR="00E62B8B">
        <w:rPr>
          <w:sz w:val="24"/>
          <w:szCs w:val="24"/>
        </w:rPr>
        <w:t>. R</w:t>
      </w:r>
      <w:r w:rsidR="00DB5519">
        <w:rPr>
          <w:sz w:val="24"/>
          <w:szCs w:val="24"/>
        </w:rPr>
        <w:t xml:space="preserve">ather, it should build on a common ground of shared substantive values and thus reflect a fruitful mediation between all perspectives and interests at stake. </w:t>
      </w:r>
      <w:r w:rsidR="001F3501">
        <w:rPr>
          <w:sz w:val="24"/>
          <w:szCs w:val="24"/>
        </w:rPr>
        <w:t xml:space="preserve">Where this common ground of shared values is missing, and legal proceduralisation and political deliberation fail to construct normatively legitimate solutions, </w:t>
      </w:r>
      <w:r w:rsidR="001F3501" w:rsidRPr="009D5529">
        <w:rPr>
          <w:sz w:val="24"/>
          <w:szCs w:val="24"/>
        </w:rPr>
        <w:t>legal and value pluralism</w:t>
      </w:r>
      <w:r w:rsidR="001F3501">
        <w:rPr>
          <w:sz w:val="24"/>
          <w:szCs w:val="24"/>
        </w:rPr>
        <w:t xml:space="preserve"> should be safeguarded. </w:t>
      </w:r>
      <w:r w:rsidR="00933E5B">
        <w:rPr>
          <w:sz w:val="24"/>
          <w:szCs w:val="24"/>
        </w:rPr>
        <w:t>Just like in the case of GE organisms, acknowledging that there are no margins to construct universally agreeable solutions is the first step to ensur</w:t>
      </w:r>
      <w:r w:rsidR="00554E0B">
        <w:rPr>
          <w:sz w:val="24"/>
          <w:szCs w:val="24"/>
        </w:rPr>
        <w:t>ing</w:t>
      </w:r>
      <w:r w:rsidR="00933E5B">
        <w:rPr>
          <w:sz w:val="24"/>
          <w:szCs w:val="24"/>
        </w:rPr>
        <w:t xml:space="preserve"> the </w:t>
      </w:r>
      <w:r w:rsidR="00933E5B" w:rsidRPr="00E62B8B">
        <w:rPr>
          <w:sz w:val="24"/>
          <w:szCs w:val="24"/>
        </w:rPr>
        <w:t>coexistence</w:t>
      </w:r>
      <w:r w:rsidR="00933E5B">
        <w:rPr>
          <w:sz w:val="24"/>
          <w:szCs w:val="24"/>
        </w:rPr>
        <w:t xml:space="preserve"> of different </w:t>
      </w:r>
      <w:r w:rsidR="005357A1">
        <w:rPr>
          <w:sz w:val="24"/>
          <w:szCs w:val="24"/>
        </w:rPr>
        <w:t>discourses</w:t>
      </w:r>
      <w:r w:rsidR="00A411FB">
        <w:rPr>
          <w:sz w:val="24"/>
          <w:szCs w:val="24"/>
        </w:rPr>
        <w:t xml:space="preserve"> and </w:t>
      </w:r>
      <w:r w:rsidR="00933E5B">
        <w:rPr>
          <w:sz w:val="24"/>
          <w:szCs w:val="24"/>
        </w:rPr>
        <w:t>approaches.</w:t>
      </w:r>
    </w:p>
    <w:p w14:paraId="120BBA3F" w14:textId="7F593301" w:rsidR="006819DA" w:rsidRDefault="005F5166" w:rsidP="00A24204">
      <w:pPr>
        <w:spacing w:after="0" w:line="276" w:lineRule="auto"/>
        <w:ind w:firstLine="720"/>
        <w:jc w:val="both"/>
        <w:rPr>
          <w:iCs/>
          <w:sz w:val="24"/>
          <w:szCs w:val="24"/>
        </w:rPr>
      </w:pPr>
      <w:r>
        <w:rPr>
          <w:iCs/>
          <w:sz w:val="24"/>
          <w:szCs w:val="24"/>
        </w:rPr>
        <w:t>Nonetheless</w:t>
      </w:r>
      <w:r w:rsidR="00A411FB">
        <w:rPr>
          <w:iCs/>
          <w:sz w:val="24"/>
          <w:szCs w:val="24"/>
        </w:rPr>
        <w:t>,</w:t>
      </w:r>
      <w:r>
        <w:rPr>
          <w:iCs/>
          <w:sz w:val="24"/>
          <w:szCs w:val="24"/>
        </w:rPr>
        <w:t xml:space="preserve"> this</w:t>
      </w:r>
      <w:r w:rsidR="00A411FB">
        <w:rPr>
          <w:iCs/>
          <w:sz w:val="24"/>
          <w:szCs w:val="24"/>
        </w:rPr>
        <w:t xml:space="preserve"> does not quite settle the post-modern normative conundrum of transnational legal studies. If legal proceduralisation fails </w:t>
      </w:r>
      <w:r>
        <w:rPr>
          <w:iCs/>
          <w:sz w:val="24"/>
          <w:szCs w:val="24"/>
        </w:rPr>
        <w:t xml:space="preserve">to provide normatively legitimate solutions, </w:t>
      </w:r>
      <w:r w:rsidR="00A411FB">
        <w:rPr>
          <w:iCs/>
          <w:sz w:val="24"/>
          <w:szCs w:val="24"/>
        </w:rPr>
        <w:t xml:space="preserve">and the recognition and defence of legal and value pluralism is the </w:t>
      </w:r>
      <w:r w:rsidR="00A411FB" w:rsidRPr="00E62B8B">
        <w:rPr>
          <w:iCs/>
          <w:sz w:val="24"/>
          <w:szCs w:val="24"/>
        </w:rPr>
        <w:t>end point of the analysis, we are back to the starting point:</w:t>
      </w:r>
      <w:r w:rsidR="00A411FB">
        <w:rPr>
          <w:iCs/>
          <w:sz w:val="24"/>
          <w:szCs w:val="24"/>
        </w:rPr>
        <w:t xml:space="preserve"> the acknowledgment of legal pluralism under transnational legal theory.</w:t>
      </w:r>
      <w:r w:rsidR="00DF6337">
        <w:rPr>
          <w:rStyle w:val="Rimandonotaapidipagina"/>
          <w:iCs/>
          <w:sz w:val="24"/>
          <w:szCs w:val="24"/>
        </w:rPr>
        <w:footnoteReference w:id="12"/>
      </w:r>
      <w:r w:rsidR="00A411FB">
        <w:rPr>
          <w:iCs/>
          <w:sz w:val="24"/>
          <w:szCs w:val="24"/>
        </w:rPr>
        <w:t xml:space="preserve"> </w:t>
      </w:r>
      <w:r w:rsidR="006F1C6C">
        <w:rPr>
          <w:iCs/>
          <w:sz w:val="24"/>
          <w:szCs w:val="24"/>
        </w:rPr>
        <w:t xml:space="preserve">Ultimately, this </w:t>
      </w:r>
      <w:r w:rsidR="00E647E6">
        <w:rPr>
          <w:iCs/>
          <w:sz w:val="24"/>
          <w:szCs w:val="24"/>
        </w:rPr>
        <w:t xml:space="preserve">negates </w:t>
      </w:r>
      <w:r w:rsidR="006F1C6C">
        <w:rPr>
          <w:iCs/>
          <w:sz w:val="24"/>
          <w:szCs w:val="24"/>
        </w:rPr>
        <w:t xml:space="preserve">any normative dimension </w:t>
      </w:r>
      <w:r w:rsidR="00E647E6">
        <w:rPr>
          <w:iCs/>
          <w:sz w:val="24"/>
          <w:szCs w:val="24"/>
        </w:rPr>
        <w:t xml:space="preserve">in </w:t>
      </w:r>
      <w:r w:rsidR="006F1C6C">
        <w:rPr>
          <w:iCs/>
          <w:sz w:val="24"/>
          <w:szCs w:val="24"/>
        </w:rPr>
        <w:t>the analysis. It also triggers a further and broader question, beyond the specific case of regulatory conflicts on GE organisms. I</w:t>
      </w:r>
      <w:r>
        <w:rPr>
          <w:iCs/>
          <w:sz w:val="24"/>
          <w:szCs w:val="24"/>
        </w:rPr>
        <w:t>n the face of increasing societal complexity</w:t>
      </w:r>
      <w:r w:rsidR="008C34F5">
        <w:rPr>
          <w:iCs/>
          <w:sz w:val="24"/>
          <w:szCs w:val="24"/>
        </w:rPr>
        <w:t xml:space="preserve">, differentiation and </w:t>
      </w:r>
      <w:r>
        <w:rPr>
          <w:iCs/>
          <w:sz w:val="24"/>
          <w:szCs w:val="24"/>
        </w:rPr>
        <w:t>fragmentation</w:t>
      </w:r>
      <w:r w:rsidR="00DF6337">
        <w:rPr>
          <w:iCs/>
          <w:sz w:val="24"/>
          <w:szCs w:val="24"/>
        </w:rPr>
        <w:t xml:space="preserve">, what are the margins of manoeuvre for </w:t>
      </w:r>
      <w:r w:rsidR="00DF6337" w:rsidRPr="008C34F5">
        <w:rPr>
          <w:i/>
          <w:sz w:val="24"/>
          <w:szCs w:val="24"/>
        </w:rPr>
        <w:t>modern</w:t>
      </w:r>
      <w:r w:rsidR="00DF6337">
        <w:rPr>
          <w:iCs/>
          <w:sz w:val="24"/>
          <w:szCs w:val="24"/>
        </w:rPr>
        <w:t xml:space="preserve"> procedural paradigms to tackle regulatory conflicts in a </w:t>
      </w:r>
      <w:r w:rsidR="00DF6337" w:rsidRPr="008C34F5">
        <w:rPr>
          <w:i/>
          <w:sz w:val="24"/>
          <w:szCs w:val="24"/>
        </w:rPr>
        <w:t>post-modern</w:t>
      </w:r>
      <w:r w:rsidR="00F525F2">
        <w:rPr>
          <w:iCs/>
          <w:sz w:val="24"/>
          <w:szCs w:val="24"/>
        </w:rPr>
        <w:t xml:space="preserve">, transnational </w:t>
      </w:r>
      <w:r w:rsidR="00DF6337">
        <w:rPr>
          <w:iCs/>
          <w:sz w:val="24"/>
          <w:szCs w:val="24"/>
        </w:rPr>
        <w:t xml:space="preserve">scenario? </w:t>
      </w:r>
    </w:p>
    <w:p w14:paraId="036002EC" w14:textId="7D3FCD44" w:rsidR="00163213" w:rsidRDefault="008C34F5" w:rsidP="00A24204">
      <w:pPr>
        <w:spacing w:after="0" w:line="276" w:lineRule="auto"/>
        <w:ind w:firstLine="720"/>
        <w:jc w:val="both"/>
        <w:rPr>
          <w:rFonts w:cs="Times New Roman"/>
          <w:iCs/>
          <w:sz w:val="24"/>
          <w:szCs w:val="24"/>
        </w:rPr>
      </w:pPr>
      <w:r>
        <w:rPr>
          <w:iCs/>
          <w:sz w:val="24"/>
          <w:szCs w:val="24"/>
        </w:rPr>
        <w:t xml:space="preserve">As suggested elsewhere, the World Society whose advent Luhmann foretold might as well be defined </w:t>
      </w:r>
      <w:r w:rsidR="004A2C4C">
        <w:rPr>
          <w:iCs/>
          <w:sz w:val="24"/>
          <w:szCs w:val="24"/>
        </w:rPr>
        <w:t>as</w:t>
      </w:r>
      <w:r w:rsidR="006819DA">
        <w:rPr>
          <w:iCs/>
          <w:sz w:val="24"/>
          <w:szCs w:val="24"/>
        </w:rPr>
        <w:t xml:space="preserve"> an </w:t>
      </w:r>
      <w:r w:rsidR="00E62B8B">
        <w:rPr>
          <w:iCs/>
          <w:sz w:val="24"/>
          <w:szCs w:val="24"/>
        </w:rPr>
        <w:t>“</w:t>
      </w:r>
      <w:r w:rsidR="006819DA" w:rsidRPr="00E62B8B">
        <w:rPr>
          <w:iCs/>
          <w:sz w:val="24"/>
          <w:szCs w:val="24"/>
        </w:rPr>
        <w:t>amorphous</w:t>
      </w:r>
      <w:r w:rsidR="00E62B8B">
        <w:rPr>
          <w:iCs/>
          <w:sz w:val="24"/>
          <w:szCs w:val="24"/>
        </w:rPr>
        <w:t>”</w:t>
      </w:r>
      <w:r w:rsidR="006819DA">
        <w:rPr>
          <w:iCs/>
          <w:sz w:val="24"/>
          <w:szCs w:val="24"/>
        </w:rPr>
        <w:t xml:space="preserve"> World Society.</w:t>
      </w:r>
      <w:r w:rsidR="006F1C6C">
        <w:rPr>
          <w:rStyle w:val="Rimandonotaapidipagina"/>
          <w:iCs/>
          <w:sz w:val="24"/>
          <w:szCs w:val="24"/>
        </w:rPr>
        <w:footnoteReference w:id="13"/>
      </w:r>
      <w:r w:rsidR="006819DA">
        <w:rPr>
          <w:iCs/>
          <w:sz w:val="24"/>
          <w:szCs w:val="24"/>
        </w:rPr>
        <w:t xml:space="preserve"> </w:t>
      </w:r>
      <w:r w:rsidR="006819DA">
        <w:rPr>
          <w:sz w:val="24"/>
          <w:szCs w:val="24"/>
        </w:rPr>
        <w:t>E</w:t>
      </w:r>
      <w:r w:rsidR="006819DA" w:rsidRPr="0031501A">
        <w:rPr>
          <w:sz w:val="24"/>
          <w:szCs w:val="24"/>
        </w:rPr>
        <w:t xml:space="preserve">conomic interconnectedness and demographic, media </w:t>
      </w:r>
      <w:r w:rsidR="006819DA">
        <w:rPr>
          <w:sz w:val="24"/>
          <w:szCs w:val="24"/>
        </w:rPr>
        <w:t xml:space="preserve">and information </w:t>
      </w:r>
      <w:r w:rsidR="006819DA" w:rsidRPr="0031501A">
        <w:rPr>
          <w:sz w:val="24"/>
          <w:szCs w:val="24"/>
        </w:rPr>
        <w:t>flows</w:t>
      </w:r>
      <w:r w:rsidR="006819DA">
        <w:rPr>
          <w:sz w:val="24"/>
          <w:szCs w:val="24"/>
        </w:rPr>
        <w:t xml:space="preserve"> have </w:t>
      </w:r>
      <w:r w:rsidR="00472CC0">
        <w:rPr>
          <w:sz w:val="24"/>
          <w:szCs w:val="24"/>
        </w:rPr>
        <w:t>brought to the fore a far-reaching restructuring of</w:t>
      </w:r>
      <w:r w:rsidR="008F106E">
        <w:rPr>
          <w:sz w:val="24"/>
          <w:szCs w:val="24"/>
        </w:rPr>
        <w:t xml:space="preserve"> societal ordering</w:t>
      </w:r>
      <w:r w:rsidR="00E62B8B">
        <w:rPr>
          <w:sz w:val="24"/>
          <w:szCs w:val="24"/>
        </w:rPr>
        <w:t>. T</w:t>
      </w:r>
      <w:r w:rsidR="006819DA">
        <w:rPr>
          <w:sz w:val="24"/>
          <w:szCs w:val="24"/>
        </w:rPr>
        <w:t>ransnational regulatory convergence and increasing trade liberalisation have</w:t>
      </w:r>
      <w:r w:rsidR="008F106E">
        <w:rPr>
          <w:sz w:val="24"/>
          <w:szCs w:val="24"/>
        </w:rPr>
        <w:t xml:space="preserve"> then</w:t>
      </w:r>
      <w:r w:rsidR="006819DA">
        <w:rPr>
          <w:sz w:val="24"/>
          <w:szCs w:val="24"/>
        </w:rPr>
        <w:t xml:space="preserve"> </w:t>
      </w:r>
      <w:r w:rsidR="008F106E">
        <w:rPr>
          <w:sz w:val="24"/>
          <w:szCs w:val="24"/>
        </w:rPr>
        <w:t xml:space="preserve">pushed forward the neo-liberal globalisation agenda, increasingly homogenising </w:t>
      </w:r>
      <w:r w:rsidR="008F106E">
        <w:rPr>
          <w:iCs/>
          <w:sz w:val="24"/>
          <w:szCs w:val="24"/>
        </w:rPr>
        <w:t xml:space="preserve">World Society. </w:t>
      </w:r>
      <w:r w:rsidR="00472CC0">
        <w:rPr>
          <w:iCs/>
          <w:sz w:val="24"/>
          <w:szCs w:val="24"/>
        </w:rPr>
        <w:t>Yet, the World Society we are living in has remained amorphous; while homogenised</w:t>
      </w:r>
      <w:r w:rsidR="0061328D">
        <w:rPr>
          <w:iCs/>
          <w:sz w:val="24"/>
          <w:szCs w:val="24"/>
        </w:rPr>
        <w:t xml:space="preserve"> in several respects</w:t>
      </w:r>
      <w:r w:rsidR="00472CC0">
        <w:rPr>
          <w:iCs/>
          <w:sz w:val="24"/>
          <w:szCs w:val="24"/>
        </w:rPr>
        <w:t>, it is inherently fragmented in political, socio-economic and cultural terms.</w:t>
      </w:r>
      <w:r w:rsidR="003B2D6C">
        <w:rPr>
          <w:rStyle w:val="Rimandonotaapidipagina"/>
          <w:iCs/>
          <w:sz w:val="24"/>
          <w:szCs w:val="24"/>
        </w:rPr>
        <w:footnoteReference w:id="14"/>
      </w:r>
      <w:r w:rsidR="00472CC0">
        <w:rPr>
          <w:iCs/>
          <w:sz w:val="24"/>
          <w:szCs w:val="24"/>
        </w:rPr>
        <w:t xml:space="preserve"> </w:t>
      </w:r>
      <w:r w:rsidR="00A24204">
        <w:rPr>
          <w:iCs/>
          <w:sz w:val="24"/>
          <w:szCs w:val="24"/>
        </w:rPr>
        <w:t>Therefore</w:t>
      </w:r>
      <w:r w:rsidR="00472CC0">
        <w:rPr>
          <w:iCs/>
          <w:sz w:val="24"/>
          <w:szCs w:val="24"/>
        </w:rPr>
        <w:t xml:space="preserve">, as noted elsewhere, the prospects for legal proceduralisation to identify </w:t>
      </w:r>
      <w:r w:rsidR="003B2D6C">
        <w:rPr>
          <w:iCs/>
          <w:sz w:val="24"/>
          <w:szCs w:val="24"/>
        </w:rPr>
        <w:t xml:space="preserve">normatively </w:t>
      </w:r>
      <w:r w:rsidR="00472CC0">
        <w:rPr>
          <w:iCs/>
          <w:sz w:val="24"/>
          <w:szCs w:val="24"/>
        </w:rPr>
        <w:t xml:space="preserve">legitimate solutions to </w:t>
      </w:r>
      <w:r w:rsidR="0061328D">
        <w:rPr>
          <w:iCs/>
          <w:sz w:val="24"/>
          <w:szCs w:val="24"/>
        </w:rPr>
        <w:t xml:space="preserve">highly complex </w:t>
      </w:r>
      <w:r w:rsidR="00472CC0">
        <w:rPr>
          <w:iCs/>
          <w:sz w:val="24"/>
          <w:szCs w:val="24"/>
        </w:rPr>
        <w:t>regulatory conflicts</w:t>
      </w:r>
      <w:r w:rsidR="006F1C6C">
        <w:rPr>
          <w:iCs/>
          <w:sz w:val="24"/>
          <w:szCs w:val="24"/>
        </w:rPr>
        <w:t xml:space="preserve"> and</w:t>
      </w:r>
      <w:r w:rsidR="00472CC0">
        <w:rPr>
          <w:iCs/>
          <w:sz w:val="24"/>
          <w:szCs w:val="24"/>
        </w:rPr>
        <w:t xml:space="preserve"> successfully construct shared principles and values appear rather bleak.</w:t>
      </w:r>
      <w:r w:rsidR="003B2D6C">
        <w:rPr>
          <w:rStyle w:val="Rimandonotaapidipagina"/>
          <w:iCs/>
          <w:sz w:val="24"/>
          <w:szCs w:val="24"/>
        </w:rPr>
        <w:footnoteReference w:id="15"/>
      </w:r>
      <w:r w:rsidR="00472CC0">
        <w:rPr>
          <w:iCs/>
          <w:sz w:val="24"/>
          <w:szCs w:val="24"/>
        </w:rPr>
        <w:t xml:space="preserve"> </w:t>
      </w:r>
      <w:r w:rsidR="00E761E9">
        <w:rPr>
          <w:iCs/>
          <w:sz w:val="24"/>
          <w:szCs w:val="24"/>
        </w:rPr>
        <w:t xml:space="preserve">In the face of </w:t>
      </w:r>
      <w:r w:rsidR="0061328D">
        <w:rPr>
          <w:iCs/>
          <w:sz w:val="24"/>
          <w:szCs w:val="24"/>
        </w:rPr>
        <w:t xml:space="preserve">societal fragmentation and ubiquitous contestation over substantive values, procedural legal paradigms like Conflicts Law theory struggle to re-legitimise law through the identification of </w:t>
      </w:r>
      <w:r w:rsidR="0061328D" w:rsidRPr="00E62B8B">
        <w:rPr>
          <w:iCs/>
          <w:sz w:val="24"/>
          <w:szCs w:val="24"/>
        </w:rPr>
        <w:t>genuinely</w:t>
      </w:r>
      <w:r w:rsidR="0061328D" w:rsidRPr="00D5583C">
        <w:rPr>
          <w:i/>
          <w:sz w:val="24"/>
          <w:szCs w:val="24"/>
        </w:rPr>
        <w:t xml:space="preserve"> </w:t>
      </w:r>
      <w:r w:rsidR="0061328D" w:rsidRPr="00E62B8B">
        <w:rPr>
          <w:iCs/>
          <w:sz w:val="24"/>
          <w:szCs w:val="24"/>
        </w:rPr>
        <w:t>agreed</w:t>
      </w:r>
      <w:r w:rsidR="0061328D">
        <w:rPr>
          <w:iCs/>
          <w:sz w:val="24"/>
          <w:szCs w:val="24"/>
        </w:rPr>
        <w:t xml:space="preserve"> political and legal solutions. </w:t>
      </w:r>
      <w:r w:rsidR="00A24204">
        <w:rPr>
          <w:iCs/>
          <w:sz w:val="24"/>
          <w:szCs w:val="24"/>
        </w:rPr>
        <w:t>Overall</w:t>
      </w:r>
      <w:r w:rsidR="0061328D">
        <w:rPr>
          <w:iCs/>
          <w:sz w:val="24"/>
          <w:szCs w:val="24"/>
        </w:rPr>
        <w:t xml:space="preserve">, as </w:t>
      </w:r>
      <w:r w:rsidR="001B4DF7">
        <w:rPr>
          <w:iCs/>
          <w:sz w:val="24"/>
          <w:szCs w:val="24"/>
        </w:rPr>
        <w:t>summarised</w:t>
      </w:r>
      <w:r w:rsidR="0061328D">
        <w:rPr>
          <w:iCs/>
          <w:sz w:val="24"/>
          <w:szCs w:val="24"/>
        </w:rPr>
        <w:t xml:space="preserve"> in the introductory chapter, </w:t>
      </w:r>
      <w:r w:rsidR="0061328D" w:rsidRPr="00E62B8B">
        <w:rPr>
          <w:iCs/>
          <w:sz w:val="24"/>
          <w:szCs w:val="24"/>
        </w:rPr>
        <w:t>modern</w:t>
      </w:r>
      <w:r w:rsidR="0061328D">
        <w:rPr>
          <w:iCs/>
          <w:sz w:val="24"/>
          <w:szCs w:val="24"/>
        </w:rPr>
        <w:t xml:space="preserve"> procedural accounts have put </w:t>
      </w:r>
      <w:r w:rsidR="0061328D">
        <w:rPr>
          <w:sz w:val="24"/>
          <w:szCs w:val="24"/>
        </w:rPr>
        <w:t xml:space="preserve">too much faith in the ability of </w:t>
      </w:r>
      <w:r w:rsidR="0061328D" w:rsidRPr="0061328D">
        <w:rPr>
          <w:rFonts w:cs="Times New Roman"/>
          <w:iCs/>
          <w:sz w:val="24"/>
          <w:szCs w:val="24"/>
        </w:rPr>
        <w:t>rational communicative processes</w:t>
      </w:r>
      <w:r w:rsidR="0061328D">
        <w:rPr>
          <w:rFonts w:cs="Times New Roman"/>
          <w:iCs/>
          <w:sz w:val="24"/>
          <w:szCs w:val="24"/>
        </w:rPr>
        <w:t xml:space="preserve"> to construct </w:t>
      </w:r>
      <w:r w:rsidR="0061328D" w:rsidRPr="00A36FE7">
        <w:rPr>
          <w:rFonts w:cs="Times New Roman"/>
          <w:iCs/>
          <w:sz w:val="24"/>
          <w:szCs w:val="24"/>
        </w:rPr>
        <w:t xml:space="preserve">shared </w:t>
      </w:r>
      <w:r w:rsidR="0061328D" w:rsidRPr="0061328D">
        <w:rPr>
          <w:rFonts w:cs="Times New Roman"/>
          <w:iCs/>
          <w:sz w:val="24"/>
          <w:szCs w:val="24"/>
        </w:rPr>
        <w:t>substantive</w:t>
      </w:r>
      <w:r w:rsidR="0061328D" w:rsidRPr="00A36FE7">
        <w:rPr>
          <w:rFonts w:cs="Times New Roman"/>
          <w:iCs/>
          <w:sz w:val="24"/>
          <w:szCs w:val="24"/>
        </w:rPr>
        <w:t xml:space="preserve"> values and identities</w:t>
      </w:r>
      <w:r w:rsidR="00D5583C">
        <w:rPr>
          <w:rFonts w:cs="Times New Roman"/>
          <w:iCs/>
          <w:sz w:val="24"/>
          <w:szCs w:val="24"/>
        </w:rPr>
        <w:t xml:space="preserve"> and underpin</w:t>
      </w:r>
      <w:r w:rsidR="0061328D">
        <w:rPr>
          <w:rFonts w:cs="Times New Roman"/>
          <w:iCs/>
          <w:sz w:val="24"/>
          <w:szCs w:val="24"/>
        </w:rPr>
        <w:t xml:space="preserve"> soci</w:t>
      </w:r>
      <w:r w:rsidR="00163213">
        <w:rPr>
          <w:rFonts w:cs="Times New Roman"/>
          <w:iCs/>
          <w:sz w:val="24"/>
          <w:szCs w:val="24"/>
        </w:rPr>
        <w:t>et</w:t>
      </w:r>
      <w:r w:rsidR="0061328D">
        <w:rPr>
          <w:rFonts w:cs="Times New Roman"/>
          <w:iCs/>
          <w:sz w:val="24"/>
          <w:szCs w:val="24"/>
        </w:rPr>
        <w:t xml:space="preserve">al integration. In the </w:t>
      </w:r>
      <w:r w:rsidR="0061328D" w:rsidRPr="00E62B8B">
        <w:rPr>
          <w:rFonts w:cs="Times New Roman"/>
          <w:iCs/>
          <w:sz w:val="24"/>
          <w:szCs w:val="24"/>
        </w:rPr>
        <w:lastRenderedPageBreak/>
        <w:t>post-modern</w:t>
      </w:r>
      <w:r w:rsidR="0061328D">
        <w:rPr>
          <w:rFonts w:cs="Times New Roman"/>
          <w:iCs/>
          <w:sz w:val="24"/>
          <w:szCs w:val="24"/>
        </w:rPr>
        <w:t xml:space="preserve"> era, </w:t>
      </w:r>
      <w:r w:rsidR="00163213">
        <w:rPr>
          <w:rFonts w:cs="Times New Roman"/>
          <w:iCs/>
          <w:sz w:val="24"/>
          <w:szCs w:val="24"/>
        </w:rPr>
        <w:t>these paradigms struggle</w:t>
      </w:r>
      <w:r w:rsidR="003B2D6C">
        <w:rPr>
          <w:rFonts w:cs="Times New Roman"/>
          <w:iCs/>
          <w:sz w:val="24"/>
          <w:szCs w:val="24"/>
        </w:rPr>
        <w:t xml:space="preserve"> in the attempt</w:t>
      </w:r>
      <w:r w:rsidR="00163213">
        <w:rPr>
          <w:rFonts w:cs="Times New Roman"/>
          <w:iCs/>
          <w:sz w:val="24"/>
          <w:szCs w:val="24"/>
        </w:rPr>
        <w:t xml:space="preserve"> to control political and socio-economic tensions</w:t>
      </w:r>
      <w:r w:rsidR="003B2D6C">
        <w:rPr>
          <w:rFonts w:cs="Times New Roman"/>
          <w:iCs/>
          <w:sz w:val="24"/>
          <w:szCs w:val="24"/>
        </w:rPr>
        <w:t xml:space="preserve"> and</w:t>
      </w:r>
      <w:r w:rsidR="00163213">
        <w:rPr>
          <w:rFonts w:cs="Times New Roman"/>
          <w:iCs/>
          <w:sz w:val="24"/>
          <w:szCs w:val="24"/>
        </w:rPr>
        <w:t xml:space="preserve"> </w:t>
      </w:r>
      <w:r w:rsidR="00D5583C">
        <w:rPr>
          <w:rFonts w:cs="Times New Roman"/>
          <w:iCs/>
          <w:sz w:val="24"/>
          <w:szCs w:val="24"/>
        </w:rPr>
        <w:t>construct legitimate solutions.</w:t>
      </w:r>
    </w:p>
    <w:p w14:paraId="267D12FC" w14:textId="7CD7FFC7" w:rsidR="005734DE" w:rsidRDefault="00D5583C" w:rsidP="00A24204">
      <w:pPr>
        <w:spacing w:after="0" w:line="276" w:lineRule="auto"/>
        <w:ind w:firstLine="720"/>
        <w:jc w:val="both"/>
        <w:rPr>
          <w:iCs/>
          <w:sz w:val="24"/>
          <w:szCs w:val="24"/>
        </w:rPr>
      </w:pPr>
      <w:r>
        <w:rPr>
          <w:iCs/>
          <w:sz w:val="24"/>
          <w:szCs w:val="24"/>
        </w:rPr>
        <w:t xml:space="preserve">This </w:t>
      </w:r>
      <w:r w:rsidR="00726875">
        <w:rPr>
          <w:iCs/>
          <w:sz w:val="24"/>
          <w:szCs w:val="24"/>
        </w:rPr>
        <w:t xml:space="preserve">raises </w:t>
      </w:r>
      <w:r>
        <w:rPr>
          <w:iCs/>
          <w:sz w:val="24"/>
          <w:szCs w:val="24"/>
        </w:rPr>
        <w:t>the question</w:t>
      </w:r>
      <w:r w:rsidR="00471000">
        <w:rPr>
          <w:iCs/>
          <w:sz w:val="24"/>
          <w:szCs w:val="24"/>
        </w:rPr>
        <w:t xml:space="preserve"> </w:t>
      </w:r>
      <w:r w:rsidR="0094581D">
        <w:rPr>
          <w:iCs/>
          <w:sz w:val="24"/>
          <w:szCs w:val="24"/>
        </w:rPr>
        <w:t>of</w:t>
      </w:r>
      <w:r>
        <w:rPr>
          <w:iCs/>
          <w:sz w:val="24"/>
          <w:szCs w:val="24"/>
        </w:rPr>
        <w:t xml:space="preserve"> whether normative legal analysis is doomed</w:t>
      </w:r>
      <w:r w:rsidR="00F525F2">
        <w:rPr>
          <w:iCs/>
          <w:sz w:val="24"/>
          <w:szCs w:val="24"/>
        </w:rPr>
        <w:t xml:space="preserve"> in the transnational landscape</w:t>
      </w:r>
      <w:r>
        <w:rPr>
          <w:iCs/>
          <w:sz w:val="24"/>
          <w:szCs w:val="24"/>
        </w:rPr>
        <w:t xml:space="preserve">. </w:t>
      </w:r>
      <w:r w:rsidR="00E647E6">
        <w:rPr>
          <w:iCs/>
          <w:sz w:val="24"/>
          <w:szCs w:val="24"/>
        </w:rPr>
        <w:t xml:space="preserve">Should </w:t>
      </w:r>
      <w:r w:rsidR="00F525F2">
        <w:rPr>
          <w:iCs/>
          <w:sz w:val="24"/>
          <w:szCs w:val="24"/>
        </w:rPr>
        <w:t xml:space="preserve">transnational </w:t>
      </w:r>
      <w:r>
        <w:rPr>
          <w:iCs/>
          <w:sz w:val="24"/>
          <w:szCs w:val="24"/>
        </w:rPr>
        <w:t>legal theory</w:t>
      </w:r>
      <w:r w:rsidR="00450957">
        <w:rPr>
          <w:iCs/>
          <w:sz w:val="24"/>
          <w:szCs w:val="24"/>
        </w:rPr>
        <w:t>,</w:t>
      </w:r>
      <w:r w:rsidR="00E647E6">
        <w:rPr>
          <w:iCs/>
          <w:sz w:val="24"/>
          <w:szCs w:val="24"/>
        </w:rPr>
        <w:t xml:space="preserve"> then</w:t>
      </w:r>
      <w:r w:rsidR="00450957">
        <w:rPr>
          <w:iCs/>
          <w:sz w:val="24"/>
          <w:szCs w:val="24"/>
        </w:rPr>
        <w:t>,</w:t>
      </w:r>
      <w:r>
        <w:rPr>
          <w:iCs/>
          <w:sz w:val="24"/>
          <w:szCs w:val="24"/>
        </w:rPr>
        <w:t xml:space="preserve"> relinquish the distinction between law’s facticity and validity, and limit itself to deconstructing law? Or do we find ourselves in</w:t>
      </w:r>
      <w:r w:rsidR="00163213">
        <w:rPr>
          <w:iCs/>
          <w:sz w:val="24"/>
          <w:szCs w:val="24"/>
        </w:rPr>
        <w:t xml:space="preserve"> </w:t>
      </w:r>
      <w:r>
        <w:rPr>
          <w:iCs/>
          <w:sz w:val="24"/>
          <w:szCs w:val="24"/>
        </w:rPr>
        <w:t>a “</w:t>
      </w:r>
      <w:r w:rsidR="00163213">
        <w:rPr>
          <w:iCs/>
          <w:sz w:val="24"/>
          <w:szCs w:val="24"/>
        </w:rPr>
        <w:t>Rodrik trilemma</w:t>
      </w:r>
      <w:r>
        <w:rPr>
          <w:iCs/>
          <w:sz w:val="24"/>
          <w:szCs w:val="24"/>
        </w:rPr>
        <w:t>” scenario,</w:t>
      </w:r>
      <w:r w:rsidR="00E647E6">
        <w:rPr>
          <w:rStyle w:val="Rimandonotaapidipagina"/>
          <w:iCs/>
          <w:sz w:val="24"/>
          <w:szCs w:val="24"/>
        </w:rPr>
        <w:footnoteReference w:id="16"/>
      </w:r>
      <w:r>
        <w:rPr>
          <w:iCs/>
          <w:sz w:val="24"/>
          <w:szCs w:val="24"/>
        </w:rPr>
        <w:t xml:space="preserve"> and </w:t>
      </w:r>
      <w:r w:rsidR="00450957">
        <w:rPr>
          <w:iCs/>
          <w:sz w:val="24"/>
          <w:szCs w:val="24"/>
        </w:rPr>
        <w:t>should</w:t>
      </w:r>
      <w:r>
        <w:rPr>
          <w:iCs/>
          <w:sz w:val="24"/>
          <w:szCs w:val="24"/>
        </w:rPr>
        <w:t xml:space="preserve"> we look back to the nation state level?</w:t>
      </w:r>
      <w:r w:rsidR="001B4DF7">
        <w:rPr>
          <w:iCs/>
          <w:sz w:val="24"/>
          <w:szCs w:val="24"/>
        </w:rPr>
        <w:t xml:space="preserve"> As suggested elsewhere, </w:t>
      </w:r>
      <w:r w:rsidR="006B5F96" w:rsidRPr="005734DE">
        <w:rPr>
          <w:i/>
          <w:sz w:val="24"/>
          <w:szCs w:val="24"/>
        </w:rPr>
        <w:t>legal</w:t>
      </w:r>
      <w:r w:rsidR="001B4DF7" w:rsidRPr="005734DE">
        <w:rPr>
          <w:i/>
          <w:sz w:val="24"/>
          <w:szCs w:val="24"/>
        </w:rPr>
        <w:t xml:space="preserve"> re-materialisation</w:t>
      </w:r>
      <w:r w:rsidR="001B4DF7">
        <w:rPr>
          <w:iCs/>
          <w:sz w:val="24"/>
          <w:szCs w:val="24"/>
        </w:rPr>
        <w:t xml:space="preserve"> </w:t>
      </w:r>
      <w:r w:rsidR="005734DE">
        <w:rPr>
          <w:iCs/>
          <w:sz w:val="24"/>
          <w:szCs w:val="24"/>
        </w:rPr>
        <w:t xml:space="preserve">and a new focus on </w:t>
      </w:r>
      <w:r w:rsidR="005734DE" w:rsidRPr="005734DE">
        <w:rPr>
          <w:i/>
          <w:sz w:val="24"/>
          <w:szCs w:val="24"/>
        </w:rPr>
        <w:t xml:space="preserve">purposive </w:t>
      </w:r>
      <w:r w:rsidR="005734DE">
        <w:rPr>
          <w:iCs/>
          <w:sz w:val="24"/>
          <w:szCs w:val="24"/>
        </w:rPr>
        <w:t xml:space="preserve">forms of normativity </w:t>
      </w:r>
      <w:r w:rsidR="006B5F96">
        <w:rPr>
          <w:iCs/>
          <w:sz w:val="24"/>
          <w:szCs w:val="24"/>
        </w:rPr>
        <w:t xml:space="preserve">offer an </w:t>
      </w:r>
      <w:r w:rsidR="001B4DF7">
        <w:rPr>
          <w:iCs/>
          <w:sz w:val="24"/>
          <w:szCs w:val="24"/>
        </w:rPr>
        <w:t xml:space="preserve">alternative </w:t>
      </w:r>
      <w:r>
        <w:rPr>
          <w:iCs/>
          <w:sz w:val="24"/>
          <w:szCs w:val="24"/>
        </w:rPr>
        <w:t>way forward</w:t>
      </w:r>
      <w:r w:rsidR="00057498">
        <w:rPr>
          <w:iCs/>
          <w:sz w:val="24"/>
          <w:szCs w:val="24"/>
        </w:rPr>
        <w:t xml:space="preserve">, paving the way for </w:t>
      </w:r>
      <w:r w:rsidR="00057498" w:rsidRPr="00057498">
        <w:rPr>
          <w:i/>
          <w:sz w:val="24"/>
          <w:szCs w:val="24"/>
        </w:rPr>
        <w:t>post-modern</w:t>
      </w:r>
      <w:r w:rsidR="00057498">
        <w:rPr>
          <w:iCs/>
          <w:sz w:val="24"/>
          <w:szCs w:val="24"/>
        </w:rPr>
        <w:t xml:space="preserve"> normative legal analysis.</w:t>
      </w:r>
      <w:r w:rsidR="00297EB0">
        <w:rPr>
          <w:rStyle w:val="Rimandonotaapidipagina"/>
          <w:iCs/>
          <w:sz w:val="24"/>
          <w:szCs w:val="24"/>
        </w:rPr>
        <w:footnoteReference w:id="17"/>
      </w:r>
      <w:r w:rsidR="00F525F2">
        <w:rPr>
          <w:iCs/>
          <w:sz w:val="24"/>
          <w:szCs w:val="24"/>
        </w:rPr>
        <w:t xml:space="preserve"> </w:t>
      </w:r>
      <w:r w:rsidR="005734DE">
        <w:rPr>
          <w:iCs/>
          <w:sz w:val="24"/>
          <w:szCs w:val="24"/>
        </w:rPr>
        <w:t>The starting point is the acknowledgment of law’s inability to construct a universally legitimate discourse in the post-modern era</w:t>
      </w:r>
      <w:r w:rsidR="00E62B8B">
        <w:rPr>
          <w:iCs/>
          <w:sz w:val="24"/>
          <w:szCs w:val="24"/>
        </w:rPr>
        <w:t>. P</w:t>
      </w:r>
      <w:r w:rsidR="00057498">
        <w:rPr>
          <w:iCs/>
          <w:sz w:val="24"/>
          <w:szCs w:val="24"/>
        </w:rPr>
        <w:t>ost-modern normative analysis thus “leaves behind any claim to universality or universalisation”</w:t>
      </w:r>
      <w:r w:rsidR="003B2D6C">
        <w:rPr>
          <w:rStyle w:val="Rimandonotaapidipagina"/>
          <w:iCs/>
          <w:sz w:val="24"/>
          <w:szCs w:val="24"/>
        </w:rPr>
        <w:footnoteReference w:id="18"/>
      </w:r>
      <w:r w:rsidR="00057498">
        <w:rPr>
          <w:iCs/>
          <w:sz w:val="24"/>
          <w:szCs w:val="24"/>
        </w:rPr>
        <w:t xml:space="preserve"> and embarks on a less ambitious project. Just like </w:t>
      </w:r>
      <w:r w:rsidR="00E647E6">
        <w:rPr>
          <w:iCs/>
          <w:sz w:val="24"/>
          <w:szCs w:val="24"/>
        </w:rPr>
        <w:t xml:space="preserve">at the times of </w:t>
      </w:r>
      <w:r w:rsidR="00057498">
        <w:rPr>
          <w:iCs/>
          <w:sz w:val="24"/>
          <w:szCs w:val="24"/>
        </w:rPr>
        <w:t>the Welfare State,</w:t>
      </w:r>
      <w:r w:rsidR="00E647E6">
        <w:rPr>
          <w:rStyle w:val="Rimandonotaapidipagina"/>
          <w:iCs/>
          <w:sz w:val="24"/>
          <w:szCs w:val="24"/>
        </w:rPr>
        <w:footnoteReference w:id="19"/>
      </w:r>
      <w:r w:rsidR="00057498">
        <w:rPr>
          <w:iCs/>
          <w:sz w:val="24"/>
          <w:szCs w:val="24"/>
        </w:rPr>
        <w:t xml:space="preserve"> law’s legitimacy is assessed against the normative yardstick of specific </w:t>
      </w:r>
      <w:r w:rsidR="00057498" w:rsidRPr="00057498">
        <w:rPr>
          <w:i/>
          <w:sz w:val="24"/>
          <w:szCs w:val="24"/>
        </w:rPr>
        <w:t>substantive</w:t>
      </w:r>
      <w:r w:rsidR="00057498">
        <w:rPr>
          <w:iCs/>
          <w:sz w:val="24"/>
          <w:szCs w:val="24"/>
        </w:rPr>
        <w:t xml:space="preserve"> values, principles and goals.</w:t>
      </w:r>
      <w:r w:rsidR="003B2D6C">
        <w:rPr>
          <w:rStyle w:val="Rimandonotaapidipagina"/>
          <w:iCs/>
          <w:sz w:val="24"/>
          <w:szCs w:val="24"/>
        </w:rPr>
        <w:footnoteReference w:id="20"/>
      </w:r>
      <w:r w:rsidR="00057498">
        <w:rPr>
          <w:iCs/>
          <w:sz w:val="24"/>
          <w:szCs w:val="24"/>
        </w:rPr>
        <w:t xml:space="preserve"> </w:t>
      </w:r>
      <w:r w:rsidR="00F63E00">
        <w:rPr>
          <w:iCs/>
          <w:sz w:val="24"/>
          <w:szCs w:val="24"/>
        </w:rPr>
        <w:t>Clearly, the relevant debate</w:t>
      </w:r>
      <w:r w:rsidR="00F525F2">
        <w:rPr>
          <w:iCs/>
          <w:sz w:val="24"/>
          <w:szCs w:val="24"/>
        </w:rPr>
        <w:t>s</w:t>
      </w:r>
      <w:r w:rsidR="00F63E00">
        <w:rPr>
          <w:iCs/>
          <w:sz w:val="24"/>
          <w:szCs w:val="24"/>
        </w:rPr>
        <w:t xml:space="preserve"> have significantly changed</w:t>
      </w:r>
      <w:r w:rsidR="00E62B8B">
        <w:rPr>
          <w:iCs/>
          <w:sz w:val="24"/>
          <w:szCs w:val="24"/>
        </w:rPr>
        <w:t>. F</w:t>
      </w:r>
      <w:r w:rsidR="00F63E00">
        <w:rPr>
          <w:iCs/>
          <w:sz w:val="24"/>
          <w:szCs w:val="24"/>
        </w:rPr>
        <w:t xml:space="preserve">or this reason, the central question becomes “how, and under which forms, the formerly nation state based normative and political debates are likely to re-emerge </w:t>
      </w:r>
      <w:r w:rsidR="00F525F2">
        <w:rPr>
          <w:iCs/>
          <w:sz w:val="24"/>
          <w:szCs w:val="24"/>
        </w:rPr>
        <w:t>at the transnational level”</w:t>
      </w:r>
      <w:r w:rsidR="00BA1114">
        <w:rPr>
          <w:iCs/>
          <w:sz w:val="24"/>
          <w:szCs w:val="24"/>
        </w:rPr>
        <w:t>.</w:t>
      </w:r>
      <w:r w:rsidR="00BA1114">
        <w:rPr>
          <w:rStyle w:val="Rimandonotaapidipagina"/>
          <w:iCs/>
          <w:sz w:val="24"/>
          <w:szCs w:val="24"/>
        </w:rPr>
        <w:footnoteReference w:id="21"/>
      </w:r>
    </w:p>
    <w:p w14:paraId="4804BCD7" w14:textId="77777777" w:rsidR="00A24204" w:rsidRDefault="00F525F2" w:rsidP="00A24204">
      <w:pPr>
        <w:spacing w:after="0" w:line="276" w:lineRule="auto"/>
        <w:ind w:firstLine="720"/>
        <w:jc w:val="both"/>
        <w:rPr>
          <w:iCs/>
          <w:sz w:val="24"/>
          <w:szCs w:val="24"/>
        </w:rPr>
      </w:pPr>
      <w:r>
        <w:rPr>
          <w:iCs/>
          <w:sz w:val="24"/>
          <w:szCs w:val="24"/>
        </w:rPr>
        <w:t xml:space="preserve">A deconstruction </w:t>
      </w:r>
      <w:r w:rsidR="00D87EF4">
        <w:rPr>
          <w:iCs/>
          <w:sz w:val="24"/>
          <w:szCs w:val="24"/>
        </w:rPr>
        <w:t>of competing transnational narratives like</w:t>
      </w:r>
      <w:r>
        <w:rPr>
          <w:iCs/>
          <w:sz w:val="24"/>
          <w:szCs w:val="24"/>
        </w:rPr>
        <w:t xml:space="preserve"> the one conducted</w:t>
      </w:r>
      <w:r w:rsidR="00D87EF4">
        <w:rPr>
          <w:iCs/>
          <w:sz w:val="24"/>
          <w:szCs w:val="24"/>
        </w:rPr>
        <w:t xml:space="preserve"> throughout the institutional analysis of this book</w:t>
      </w:r>
      <w:r>
        <w:rPr>
          <w:iCs/>
          <w:sz w:val="24"/>
          <w:szCs w:val="24"/>
        </w:rPr>
        <w:t xml:space="preserve"> </w:t>
      </w:r>
      <w:r w:rsidR="00D87EF4">
        <w:rPr>
          <w:iCs/>
          <w:sz w:val="24"/>
          <w:szCs w:val="24"/>
        </w:rPr>
        <w:t>can help</w:t>
      </w:r>
      <w:r w:rsidR="00C03741">
        <w:rPr>
          <w:iCs/>
          <w:sz w:val="24"/>
          <w:szCs w:val="24"/>
        </w:rPr>
        <w:t xml:space="preserve"> </w:t>
      </w:r>
      <w:r w:rsidR="00D87EF4">
        <w:rPr>
          <w:iCs/>
          <w:sz w:val="24"/>
          <w:szCs w:val="24"/>
        </w:rPr>
        <w:t xml:space="preserve">identify fluid </w:t>
      </w:r>
      <w:r w:rsidR="00C03741">
        <w:rPr>
          <w:iCs/>
          <w:sz w:val="24"/>
          <w:szCs w:val="24"/>
        </w:rPr>
        <w:t xml:space="preserve">transnational </w:t>
      </w:r>
      <w:r w:rsidR="00D87EF4">
        <w:rPr>
          <w:iCs/>
          <w:sz w:val="24"/>
          <w:szCs w:val="24"/>
        </w:rPr>
        <w:t>stakeholder constituencies</w:t>
      </w:r>
      <w:r w:rsidR="00C03741">
        <w:rPr>
          <w:iCs/>
          <w:sz w:val="24"/>
          <w:szCs w:val="24"/>
        </w:rPr>
        <w:t>; these defend specific</w:t>
      </w:r>
      <w:r w:rsidR="00127564">
        <w:rPr>
          <w:iCs/>
          <w:sz w:val="24"/>
          <w:szCs w:val="24"/>
        </w:rPr>
        <w:t xml:space="preserve"> substantive</w:t>
      </w:r>
      <w:r w:rsidR="00C03741">
        <w:rPr>
          <w:iCs/>
          <w:sz w:val="24"/>
          <w:szCs w:val="24"/>
        </w:rPr>
        <w:t xml:space="preserve"> values, refer to specific </w:t>
      </w:r>
      <w:r w:rsidR="00127564">
        <w:rPr>
          <w:iCs/>
          <w:sz w:val="24"/>
          <w:szCs w:val="24"/>
        </w:rPr>
        <w:t xml:space="preserve">substantive </w:t>
      </w:r>
      <w:r w:rsidR="00C03741">
        <w:rPr>
          <w:iCs/>
          <w:sz w:val="24"/>
          <w:szCs w:val="24"/>
        </w:rPr>
        <w:t xml:space="preserve">principles and advocate specific regulatory approaches. In the case of agricultural biotechnologies, as the analysis has shown, these constituencies are located and operate </w:t>
      </w:r>
      <w:r w:rsidR="00C03741" w:rsidRPr="00E62B8B">
        <w:rPr>
          <w:iCs/>
          <w:sz w:val="24"/>
          <w:szCs w:val="24"/>
        </w:rPr>
        <w:t>within, across and beyond</w:t>
      </w:r>
      <w:r w:rsidR="00C03741">
        <w:rPr>
          <w:iCs/>
          <w:sz w:val="24"/>
          <w:szCs w:val="24"/>
        </w:rPr>
        <w:t xml:space="preserve"> the nation state</w:t>
      </w:r>
      <w:r w:rsidR="00E62B8B">
        <w:rPr>
          <w:iCs/>
          <w:sz w:val="24"/>
          <w:szCs w:val="24"/>
        </w:rPr>
        <w:t>. T</w:t>
      </w:r>
      <w:r w:rsidR="00C03741">
        <w:rPr>
          <w:iCs/>
          <w:sz w:val="24"/>
          <w:szCs w:val="24"/>
        </w:rPr>
        <w:t>hey have relied on hegemonic or counter-hegemonic discourses on uncertain risks and defended different approaches to</w:t>
      </w:r>
      <w:r w:rsidR="00AE70F2">
        <w:rPr>
          <w:iCs/>
          <w:sz w:val="24"/>
          <w:szCs w:val="24"/>
        </w:rPr>
        <w:t xml:space="preserve"> the</w:t>
      </w:r>
      <w:r w:rsidR="00C03741">
        <w:rPr>
          <w:iCs/>
          <w:sz w:val="24"/>
          <w:szCs w:val="24"/>
        </w:rPr>
        <w:t xml:space="preserve"> governance of GE organisms, taking different perspectives and referring to different </w:t>
      </w:r>
      <w:r w:rsidR="00127564">
        <w:rPr>
          <w:iCs/>
          <w:sz w:val="24"/>
          <w:szCs w:val="24"/>
        </w:rPr>
        <w:t xml:space="preserve">substantive </w:t>
      </w:r>
      <w:r w:rsidR="00C03741">
        <w:rPr>
          <w:iCs/>
          <w:sz w:val="24"/>
          <w:szCs w:val="24"/>
        </w:rPr>
        <w:t>values</w:t>
      </w:r>
      <w:r w:rsidR="00E408FE">
        <w:rPr>
          <w:iCs/>
          <w:sz w:val="24"/>
          <w:szCs w:val="24"/>
        </w:rPr>
        <w:t xml:space="preserve"> and interests</w:t>
      </w:r>
      <w:r w:rsidR="00C03741">
        <w:rPr>
          <w:iCs/>
          <w:sz w:val="24"/>
          <w:szCs w:val="24"/>
        </w:rPr>
        <w:t xml:space="preserve">. </w:t>
      </w:r>
      <w:r w:rsidR="00E408FE">
        <w:rPr>
          <w:iCs/>
          <w:sz w:val="24"/>
          <w:szCs w:val="24"/>
        </w:rPr>
        <w:t>This is an example of ho</w:t>
      </w:r>
      <w:r w:rsidR="00450957">
        <w:rPr>
          <w:iCs/>
          <w:sz w:val="24"/>
          <w:szCs w:val="24"/>
        </w:rPr>
        <w:t>w</w:t>
      </w:r>
      <w:r w:rsidR="00E408FE">
        <w:rPr>
          <w:iCs/>
          <w:sz w:val="24"/>
          <w:szCs w:val="24"/>
        </w:rPr>
        <w:t xml:space="preserve"> normative and political debates</w:t>
      </w:r>
      <w:r w:rsidR="00450957">
        <w:rPr>
          <w:iCs/>
          <w:sz w:val="24"/>
          <w:szCs w:val="24"/>
        </w:rPr>
        <w:t xml:space="preserve"> </w:t>
      </w:r>
      <w:r w:rsidR="00E408FE">
        <w:rPr>
          <w:iCs/>
          <w:sz w:val="24"/>
          <w:szCs w:val="24"/>
        </w:rPr>
        <w:t xml:space="preserve">are re-surfacing at times of globalisation. </w:t>
      </w:r>
    </w:p>
    <w:p w14:paraId="63DE2E1F" w14:textId="3283AE8A" w:rsidR="00FE1FB3" w:rsidRPr="00E62B8B" w:rsidRDefault="00C03741" w:rsidP="00A24204">
      <w:pPr>
        <w:spacing w:after="0" w:line="276" w:lineRule="auto"/>
        <w:ind w:firstLine="720"/>
        <w:jc w:val="both"/>
        <w:rPr>
          <w:iCs/>
          <w:sz w:val="24"/>
          <w:szCs w:val="24"/>
        </w:rPr>
      </w:pPr>
      <w:r>
        <w:rPr>
          <w:iCs/>
          <w:sz w:val="24"/>
          <w:szCs w:val="24"/>
        </w:rPr>
        <w:t xml:space="preserve">The </w:t>
      </w:r>
      <w:r w:rsidRPr="003B2D6C">
        <w:rPr>
          <w:i/>
          <w:sz w:val="24"/>
          <w:szCs w:val="24"/>
        </w:rPr>
        <w:t>deconstruction</w:t>
      </w:r>
      <w:r>
        <w:rPr>
          <w:iCs/>
          <w:sz w:val="24"/>
          <w:szCs w:val="24"/>
        </w:rPr>
        <w:t xml:space="preserve"> </w:t>
      </w:r>
      <w:r w:rsidR="00127564">
        <w:rPr>
          <w:iCs/>
          <w:sz w:val="24"/>
          <w:szCs w:val="24"/>
        </w:rPr>
        <w:t>of transnational narratives</w:t>
      </w:r>
      <w:r>
        <w:rPr>
          <w:iCs/>
          <w:sz w:val="24"/>
          <w:szCs w:val="24"/>
        </w:rPr>
        <w:t xml:space="preserve"> can then pave the way for the </w:t>
      </w:r>
      <w:r w:rsidRPr="003B2D6C">
        <w:rPr>
          <w:i/>
          <w:sz w:val="24"/>
          <w:szCs w:val="24"/>
        </w:rPr>
        <w:t>construction</w:t>
      </w:r>
      <w:r>
        <w:rPr>
          <w:iCs/>
          <w:sz w:val="24"/>
          <w:szCs w:val="24"/>
        </w:rPr>
        <w:t xml:space="preserve"> of </w:t>
      </w:r>
      <w:r w:rsidRPr="00C03741">
        <w:rPr>
          <w:i/>
          <w:sz w:val="24"/>
          <w:szCs w:val="24"/>
        </w:rPr>
        <w:t>substantive</w:t>
      </w:r>
      <w:r>
        <w:rPr>
          <w:iCs/>
          <w:sz w:val="24"/>
          <w:szCs w:val="24"/>
        </w:rPr>
        <w:t xml:space="preserve"> normative arguments</w:t>
      </w:r>
      <w:r w:rsidR="00127564">
        <w:rPr>
          <w:iCs/>
          <w:sz w:val="24"/>
          <w:szCs w:val="24"/>
        </w:rPr>
        <w:t>. U</w:t>
      </w:r>
      <w:r>
        <w:rPr>
          <w:iCs/>
          <w:sz w:val="24"/>
          <w:szCs w:val="24"/>
        </w:rPr>
        <w:t>ltimately, this post-modern perspective entails taking a side in the debate</w:t>
      </w:r>
      <w:r w:rsidR="00E408FE">
        <w:rPr>
          <w:iCs/>
          <w:sz w:val="24"/>
          <w:szCs w:val="24"/>
        </w:rPr>
        <w:t xml:space="preserve"> and deciding where to stand</w:t>
      </w:r>
      <w:r w:rsidR="00A24204">
        <w:rPr>
          <w:iCs/>
          <w:sz w:val="24"/>
          <w:szCs w:val="24"/>
        </w:rPr>
        <w:t>. I</w:t>
      </w:r>
      <w:r w:rsidR="00127564">
        <w:rPr>
          <w:iCs/>
          <w:sz w:val="24"/>
          <w:szCs w:val="24"/>
        </w:rPr>
        <w:t xml:space="preserve">t involves constructing </w:t>
      </w:r>
      <w:r w:rsidR="00127564" w:rsidRPr="00E62B8B">
        <w:rPr>
          <w:iCs/>
          <w:sz w:val="24"/>
          <w:szCs w:val="24"/>
        </w:rPr>
        <w:t xml:space="preserve">substantive, purposive arguments as to what approach should inform regulatory frameworks, </w:t>
      </w:r>
      <w:r w:rsidR="00AE13A1" w:rsidRPr="00E62B8B">
        <w:rPr>
          <w:iCs/>
          <w:sz w:val="24"/>
          <w:szCs w:val="24"/>
        </w:rPr>
        <w:t xml:space="preserve">which goals should be pursued at the regulatory implementation stage, which values should be defended, what balance should be struck between </w:t>
      </w:r>
      <w:r w:rsidR="00A24204">
        <w:rPr>
          <w:iCs/>
          <w:sz w:val="24"/>
          <w:szCs w:val="24"/>
        </w:rPr>
        <w:t xml:space="preserve">the </w:t>
      </w:r>
      <w:r w:rsidR="00AE13A1" w:rsidRPr="00E62B8B">
        <w:rPr>
          <w:iCs/>
          <w:sz w:val="24"/>
          <w:szCs w:val="24"/>
        </w:rPr>
        <w:t xml:space="preserve">different interests at stake and </w:t>
      </w:r>
      <w:r w:rsidR="00E647E6" w:rsidRPr="00E62B8B">
        <w:rPr>
          <w:iCs/>
          <w:sz w:val="24"/>
          <w:szCs w:val="24"/>
        </w:rPr>
        <w:t xml:space="preserve">which </w:t>
      </w:r>
      <w:r w:rsidR="00AE13A1" w:rsidRPr="00E62B8B">
        <w:rPr>
          <w:iCs/>
          <w:sz w:val="24"/>
          <w:szCs w:val="24"/>
        </w:rPr>
        <w:t>principles should inform the solution of regulatory c</w:t>
      </w:r>
      <w:r w:rsidR="00A24204">
        <w:rPr>
          <w:iCs/>
          <w:sz w:val="24"/>
          <w:szCs w:val="24"/>
        </w:rPr>
        <w:t>o</w:t>
      </w:r>
      <w:r w:rsidR="00AE13A1" w:rsidRPr="00E62B8B">
        <w:rPr>
          <w:iCs/>
          <w:sz w:val="24"/>
          <w:szCs w:val="24"/>
        </w:rPr>
        <w:t>nflicts within, across and beyond the nation state.</w:t>
      </w:r>
      <w:r w:rsidR="004649AD">
        <w:rPr>
          <w:rStyle w:val="Rimandonotaapidipagina"/>
          <w:iCs/>
          <w:sz w:val="24"/>
          <w:szCs w:val="24"/>
        </w:rPr>
        <w:footnoteReference w:id="22"/>
      </w:r>
      <w:r w:rsidR="00FE1FB3" w:rsidRPr="00E62B8B">
        <w:rPr>
          <w:iCs/>
          <w:sz w:val="24"/>
          <w:szCs w:val="24"/>
        </w:rPr>
        <w:t xml:space="preserve"> In the case of GE organisms, for example, substantive normative analysis could involve advocating evidence-based or socially acceptable risk approaches, defending their </w:t>
      </w:r>
      <w:r w:rsidR="00FE1FB3" w:rsidRPr="00E62B8B">
        <w:rPr>
          <w:iCs/>
          <w:sz w:val="24"/>
          <w:szCs w:val="24"/>
        </w:rPr>
        <w:lastRenderedPageBreak/>
        <w:t>underlying value systems, promoting their goals and putting forward specific arguments relating to how regulatory conflicts ought to be solved.</w:t>
      </w:r>
    </w:p>
    <w:p w14:paraId="79CC6D24" w14:textId="699E1295" w:rsidR="00677FFB" w:rsidRDefault="00AE13A1" w:rsidP="00A24204">
      <w:pPr>
        <w:spacing w:after="0" w:line="276" w:lineRule="auto"/>
        <w:ind w:firstLine="720"/>
        <w:jc w:val="both"/>
        <w:rPr>
          <w:sz w:val="24"/>
          <w:szCs w:val="24"/>
        </w:rPr>
      </w:pPr>
      <w:r>
        <w:rPr>
          <w:sz w:val="24"/>
          <w:szCs w:val="24"/>
        </w:rPr>
        <w:t xml:space="preserve">The re-materialisation of law and the </w:t>
      </w:r>
      <w:r w:rsidR="00677FFB" w:rsidRPr="00677FFB">
        <w:rPr>
          <w:sz w:val="24"/>
          <w:szCs w:val="24"/>
        </w:rPr>
        <w:t>construction</w:t>
      </w:r>
      <w:r w:rsidR="00677FFB" w:rsidRPr="0031501A">
        <w:rPr>
          <w:sz w:val="24"/>
          <w:szCs w:val="24"/>
        </w:rPr>
        <w:t xml:space="preserve"> of substantive normative arguments</w:t>
      </w:r>
      <w:r w:rsidR="00677FFB">
        <w:rPr>
          <w:sz w:val="24"/>
          <w:szCs w:val="24"/>
        </w:rPr>
        <w:t xml:space="preserve"> </w:t>
      </w:r>
      <w:r w:rsidR="00A411FB" w:rsidRPr="0031501A">
        <w:rPr>
          <w:sz w:val="24"/>
          <w:szCs w:val="24"/>
        </w:rPr>
        <w:t>might be the only way to solve the post-modern normative conundrum</w:t>
      </w:r>
      <w:r w:rsidR="00677FFB">
        <w:rPr>
          <w:sz w:val="24"/>
          <w:szCs w:val="24"/>
        </w:rPr>
        <w:t xml:space="preserve"> of transnational legal studies. If legal proceduralisation fails in the attempt to recouple law and politics in the post-national constellation, legal analysis can still structure substantive, purposive arguments. As argued elsewhere, legal re-materialisation and post-modern normative analysis could make transnational legal studies the site of new debates and discussions between different visions for globalisation.</w:t>
      </w:r>
      <w:r w:rsidR="00FE1FB3">
        <w:rPr>
          <w:rStyle w:val="Rimandonotaapidipagina"/>
          <w:sz w:val="24"/>
          <w:szCs w:val="24"/>
        </w:rPr>
        <w:footnoteReference w:id="23"/>
      </w:r>
      <w:r w:rsidR="00677FFB">
        <w:rPr>
          <w:sz w:val="24"/>
          <w:szCs w:val="24"/>
        </w:rPr>
        <w:t xml:space="preserve"> Further, they could </w:t>
      </w:r>
      <w:r w:rsidR="00D06B46">
        <w:rPr>
          <w:sz w:val="24"/>
          <w:szCs w:val="24"/>
        </w:rPr>
        <w:t>breathe new life into politics, beyond the dichotomy of “input” and “output” legitimacy, the nation state and technocracy.</w:t>
      </w:r>
      <w:r w:rsidR="00FE1FB3">
        <w:rPr>
          <w:rStyle w:val="Rimandonotaapidipagina"/>
          <w:sz w:val="24"/>
          <w:szCs w:val="24"/>
        </w:rPr>
        <w:footnoteReference w:id="24"/>
      </w:r>
    </w:p>
    <w:p w14:paraId="4016BC09" w14:textId="7A86F3B4" w:rsidR="00F525F2" w:rsidRDefault="00D06B46" w:rsidP="00A24204">
      <w:pPr>
        <w:spacing w:after="0" w:line="276" w:lineRule="auto"/>
        <w:ind w:firstLine="720"/>
        <w:jc w:val="both"/>
        <w:rPr>
          <w:sz w:val="24"/>
          <w:szCs w:val="24"/>
        </w:rPr>
      </w:pPr>
      <w:r>
        <w:rPr>
          <w:iCs/>
          <w:sz w:val="24"/>
          <w:szCs w:val="24"/>
        </w:rPr>
        <w:t xml:space="preserve">Genuine agreement on the validity and legitimacy of law is the only way to preserve its universal recognition. </w:t>
      </w:r>
      <w:r w:rsidR="003D00D0">
        <w:rPr>
          <w:iCs/>
          <w:sz w:val="24"/>
          <w:szCs w:val="24"/>
        </w:rPr>
        <w:t>However</w:t>
      </w:r>
      <w:r>
        <w:rPr>
          <w:iCs/>
          <w:sz w:val="24"/>
          <w:szCs w:val="24"/>
        </w:rPr>
        <w:t xml:space="preserve">, where there are no grounds for genuine agreement, </w:t>
      </w:r>
      <w:r w:rsidR="00586392">
        <w:rPr>
          <w:iCs/>
          <w:sz w:val="24"/>
          <w:szCs w:val="24"/>
        </w:rPr>
        <w:t>regulatory conflicts should not be solved at all costs</w:t>
      </w:r>
      <w:r w:rsidR="003D00D0">
        <w:rPr>
          <w:iCs/>
          <w:sz w:val="24"/>
          <w:szCs w:val="24"/>
        </w:rPr>
        <w:t>. I</w:t>
      </w:r>
      <w:r w:rsidR="00586392">
        <w:rPr>
          <w:iCs/>
          <w:sz w:val="24"/>
          <w:szCs w:val="24"/>
        </w:rPr>
        <w:t xml:space="preserve">n fact, they are bound to </w:t>
      </w:r>
      <w:r w:rsidR="00586392">
        <w:rPr>
          <w:sz w:val="24"/>
          <w:szCs w:val="24"/>
        </w:rPr>
        <w:t xml:space="preserve">re-surface. No case </w:t>
      </w:r>
      <w:r w:rsidR="00E96D3E">
        <w:rPr>
          <w:sz w:val="24"/>
          <w:szCs w:val="24"/>
        </w:rPr>
        <w:t>proves</w:t>
      </w:r>
      <w:r w:rsidR="00586392">
        <w:rPr>
          <w:sz w:val="24"/>
          <w:szCs w:val="24"/>
        </w:rPr>
        <w:t xml:space="preserve"> this </w:t>
      </w:r>
      <w:r w:rsidR="00E96D3E">
        <w:rPr>
          <w:sz w:val="24"/>
          <w:szCs w:val="24"/>
        </w:rPr>
        <w:t>in</w:t>
      </w:r>
      <w:r w:rsidR="00586392">
        <w:rPr>
          <w:sz w:val="24"/>
          <w:szCs w:val="24"/>
        </w:rPr>
        <w:t xml:space="preserve"> a clearer way than the </w:t>
      </w:r>
      <w:r w:rsidR="00FE1FB3">
        <w:rPr>
          <w:sz w:val="24"/>
          <w:szCs w:val="24"/>
        </w:rPr>
        <w:t xml:space="preserve">transnational </w:t>
      </w:r>
      <w:r w:rsidR="00E96D3E">
        <w:rPr>
          <w:sz w:val="24"/>
          <w:szCs w:val="24"/>
        </w:rPr>
        <w:t xml:space="preserve">controversy on GE organisms. If legal proceduralisation fails in its struggle to </w:t>
      </w:r>
      <w:r w:rsidR="00E647E6">
        <w:rPr>
          <w:sz w:val="24"/>
          <w:szCs w:val="24"/>
        </w:rPr>
        <w:t xml:space="preserve">safeguard </w:t>
      </w:r>
      <w:r w:rsidR="00E96D3E">
        <w:rPr>
          <w:sz w:val="24"/>
          <w:szCs w:val="24"/>
        </w:rPr>
        <w:t xml:space="preserve">law’s normative legitimacy, then, all that legal analysis can do is </w:t>
      </w:r>
      <w:r w:rsidR="00FE1FB3">
        <w:rPr>
          <w:sz w:val="24"/>
          <w:szCs w:val="24"/>
        </w:rPr>
        <w:t>acknowledg</w:t>
      </w:r>
      <w:r w:rsidR="0043155C">
        <w:rPr>
          <w:sz w:val="24"/>
          <w:szCs w:val="24"/>
        </w:rPr>
        <w:t>e</w:t>
      </w:r>
      <w:r w:rsidR="00E96D3E">
        <w:rPr>
          <w:sz w:val="24"/>
          <w:szCs w:val="24"/>
        </w:rPr>
        <w:t xml:space="preserve"> its own limits</w:t>
      </w:r>
      <w:r w:rsidR="00E647E6">
        <w:rPr>
          <w:sz w:val="24"/>
          <w:szCs w:val="24"/>
        </w:rPr>
        <w:t xml:space="preserve"> and put</w:t>
      </w:r>
      <w:r w:rsidR="00E96D3E">
        <w:rPr>
          <w:sz w:val="24"/>
          <w:szCs w:val="24"/>
        </w:rPr>
        <w:t xml:space="preserve"> forward substantive normative arguments. In the post-modern era and in the transnational landscape, this may prove more important than ever</w:t>
      </w:r>
      <w:r w:rsidR="00DC1732">
        <w:rPr>
          <w:sz w:val="24"/>
          <w:szCs w:val="24"/>
        </w:rPr>
        <w:t>.</w:t>
      </w:r>
    </w:p>
    <w:sectPr w:rsidR="00F525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A5CC" w14:textId="77777777" w:rsidR="00FA08C8" w:rsidRDefault="00FA08C8" w:rsidP="000B2C9B">
      <w:pPr>
        <w:spacing w:after="0" w:line="240" w:lineRule="auto"/>
      </w:pPr>
      <w:r>
        <w:separator/>
      </w:r>
    </w:p>
  </w:endnote>
  <w:endnote w:type="continuationSeparator" w:id="0">
    <w:p w14:paraId="7661055D" w14:textId="77777777" w:rsidR="00FA08C8" w:rsidRDefault="00FA08C8" w:rsidP="000B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2003" w:usb1="08070000" w:usb2="00000010" w:usb3="00000000" w:csb0="0002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904928"/>
      <w:docPartObj>
        <w:docPartGallery w:val="Page Numbers (Bottom of Page)"/>
        <w:docPartUnique/>
      </w:docPartObj>
    </w:sdtPr>
    <w:sdtEndPr>
      <w:rPr>
        <w:noProof/>
      </w:rPr>
    </w:sdtEndPr>
    <w:sdtContent>
      <w:p w14:paraId="2D9552A4" w14:textId="3B82975B" w:rsidR="00DF7AA7" w:rsidRDefault="00DF7AA7">
        <w:pPr>
          <w:pStyle w:val="Pidipagina"/>
          <w:jc w:val="center"/>
        </w:pPr>
        <w:r>
          <w:fldChar w:fldCharType="begin"/>
        </w:r>
        <w:r>
          <w:instrText xml:space="preserve"> PAGE   \* MERGEFORMAT </w:instrText>
        </w:r>
        <w:r>
          <w:fldChar w:fldCharType="separate"/>
        </w:r>
        <w:r>
          <w:rPr>
            <w:noProof/>
          </w:rPr>
          <w:t>2</w:t>
        </w:r>
        <w:r>
          <w:rPr>
            <w:noProof/>
          </w:rPr>
          <w:fldChar w:fldCharType="end"/>
        </w:r>
      </w:p>
    </w:sdtContent>
  </w:sdt>
  <w:p w14:paraId="79F5B0FB" w14:textId="77777777" w:rsidR="00DF7AA7" w:rsidRDefault="00DF7A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041F" w14:textId="77777777" w:rsidR="00FA08C8" w:rsidRDefault="00FA08C8" w:rsidP="000B2C9B">
      <w:pPr>
        <w:spacing w:after="0" w:line="240" w:lineRule="auto"/>
      </w:pPr>
      <w:r>
        <w:separator/>
      </w:r>
    </w:p>
  </w:footnote>
  <w:footnote w:type="continuationSeparator" w:id="0">
    <w:p w14:paraId="5D0B15E9" w14:textId="77777777" w:rsidR="00FA08C8" w:rsidRDefault="00FA08C8" w:rsidP="000B2C9B">
      <w:pPr>
        <w:spacing w:after="0" w:line="240" w:lineRule="auto"/>
      </w:pPr>
      <w:r>
        <w:continuationSeparator/>
      </w:r>
    </w:p>
  </w:footnote>
  <w:footnote w:id="1">
    <w:p w14:paraId="059166AE" w14:textId="239CED3C" w:rsidR="00DF7AA7" w:rsidRPr="00BA1114" w:rsidRDefault="00DF7AA7" w:rsidP="004649AD">
      <w:pPr>
        <w:pStyle w:val="Testonotaapidipagina"/>
        <w:jc w:val="both"/>
      </w:pPr>
      <w:r w:rsidRPr="00BA1114">
        <w:rPr>
          <w:rStyle w:val="Rimandonotaapidipagina"/>
        </w:rPr>
        <w:footnoteRef/>
      </w:r>
      <w:r w:rsidRPr="00BA1114">
        <w:t xml:space="preserve"> </w:t>
      </w:r>
      <w:r w:rsidR="00630EA1" w:rsidRPr="00BA1114">
        <w:t xml:space="preserve">See Leonelli, </w:t>
      </w:r>
      <w:r w:rsidR="00630EA1" w:rsidRPr="00BA1114">
        <w:rPr>
          <w:highlight w:val="yellow"/>
        </w:rPr>
        <w:t xml:space="preserve">n </w:t>
      </w:r>
      <w:r w:rsidR="00D81577">
        <w:rPr>
          <w:highlight w:val="yellow"/>
        </w:rPr>
        <w:t>37 in</w:t>
      </w:r>
      <w:r w:rsidR="00630EA1" w:rsidRPr="00BA1114">
        <w:rPr>
          <w:highlight w:val="yellow"/>
        </w:rPr>
        <w:t xml:space="preserve"> chapter 1.</w:t>
      </w:r>
    </w:p>
  </w:footnote>
  <w:footnote w:id="2">
    <w:p w14:paraId="4B7E967F" w14:textId="6FD25A20" w:rsidR="00DF7AA7" w:rsidRPr="00BA1114" w:rsidRDefault="00DF7AA7" w:rsidP="004649AD">
      <w:pPr>
        <w:pStyle w:val="Testonotaapidipagina"/>
        <w:jc w:val="both"/>
      </w:pPr>
      <w:r w:rsidRPr="00BA1114">
        <w:rPr>
          <w:rStyle w:val="Rimandonotaapidipagina"/>
        </w:rPr>
        <w:footnoteRef/>
      </w:r>
      <w:r w:rsidRPr="00BA1114">
        <w:t xml:space="preserve"> </w:t>
      </w:r>
      <w:r w:rsidR="00630EA1" w:rsidRPr="00BA1114">
        <w:t xml:space="preserve">See also </w:t>
      </w:r>
      <w:r w:rsidR="00630EA1" w:rsidRPr="00BA1114">
        <w:rPr>
          <w:highlight w:val="yellow"/>
        </w:rPr>
        <w:t xml:space="preserve">n </w:t>
      </w:r>
      <w:r w:rsidR="00762FCE">
        <w:rPr>
          <w:highlight w:val="yellow"/>
        </w:rPr>
        <w:t xml:space="preserve">38 in </w:t>
      </w:r>
      <w:r w:rsidR="00630EA1" w:rsidRPr="00BA1114">
        <w:rPr>
          <w:highlight w:val="yellow"/>
        </w:rPr>
        <w:t>chapter 1</w:t>
      </w:r>
      <w:r w:rsidR="00762FCE">
        <w:t xml:space="preserve"> as well as the first part of chapter 2</w:t>
      </w:r>
      <w:r w:rsidR="00630EA1" w:rsidRPr="00BA1114">
        <w:t xml:space="preserve"> for a clarification regarding the t</w:t>
      </w:r>
      <w:r w:rsidRPr="00BA1114">
        <w:t xml:space="preserve">erminology of </w:t>
      </w:r>
      <w:r w:rsidR="00630EA1" w:rsidRPr="00BA1114">
        <w:t>“</w:t>
      </w:r>
      <w:r w:rsidRPr="00BA1114">
        <w:t>within, across</w:t>
      </w:r>
      <w:r w:rsidR="00630EA1" w:rsidRPr="00BA1114">
        <w:t xml:space="preserve"> and</w:t>
      </w:r>
      <w:r w:rsidRPr="00BA1114">
        <w:t xml:space="preserve"> beyond</w:t>
      </w:r>
      <w:r w:rsidR="00630EA1" w:rsidRPr="00BA1114">
        <w:t xml:space="preserve"> the nation state” and similar terminology employed under TLO theory.</w:t>
      </w:r>
    </w:p>
  </w:footnote>
  <w:footnote w:id="3">
    <w:p w14:paraId="3F22F96A" w14:textId="1166EBE4" w:rsidR="00DF7AA7" w:rsidRPr="00BA1114" w:rsidRDefault="00DF7AA7" w:rsidP="004649AD">
      <w:pPr>
        <w:pStyle w:val="Testonotaapidipagina"/>
        <w:jc w:val="both"/>
      </w:pPr>
      <w:r w:rsidRPr="00BA1114">
        <w:rPr>
          <w:rStyle w:val="Rimandonotaapidipagina"/>
        </w:rPr>
        <w:footnoteRef/>
      </w:r>
      <w:r w:rsidRPr="00BA1114">
        <w:t xml:space="preserve"> </w:t>
      </w:r>
      <w:r w:rsidR="00630EA1" w:rsidRPr="00BA1114">
        <w:t xml:space="preserve">See </w:t>
      </w:r>
      <w:r w:rsidR="00630EA1" w:rsidRPr="00BA1114">
        <w:rPr>
          <w:highlight w:val="yellow"/>
        </w:rPr>
        <w:t xml:space="preserve">n 48 </w:t>
      </w:r>
      <w:r w:rsidR="00074DA1">
        <w:rPr>
          <w:highlight w:val="yellow"/>
        </w:rPr>
        <w:t>in</w:t>
      </w:r>
      <w:r w:rsidR="00630EA1" w:rsidRPr="00BA1114">
        <w:rPr>
          <w:highlight w:val="yellow"/>
        </w:rPr>
        <w:t xml:space="preserve"> chapter 1.</w:t>
      </w:r>
    </w:p>
  </w:footnote>
  <w:footnote w:id="4">
    <w:p w14:paraId="0DBEDB0D" w14:textId="0CC71697" w:rsidR="009D51E0" w:rsidRPr="00BA1114" w:rsidRDefault="009D51E0" w:rsidP="004649AD">
      <w:pPr>
        <w:pStyle w:val="Testonotaapidipagina"/>
        <w:jc w:val="both"/>
      </w:pPr>
      <w:r w:rsidRPr="00BA1114">
        <w:rPr>
          <w:rStyle w:val="Rimandonotaapidipagina"/>
        </w:rPr>
        <w:footnoteRef/>
      </w:r>
      <w:r w:rsidRPr="00BA1114">
        <w:t xml:space="preserve"> See chapter 1</w:t>
      </w:r>
      <w:r w:rsidR="00630EA1" w:rsidRPr="00BA1114">
        <w:t xml:space="preserve">, section III,  </w:t>
      </w:r>
      <w:r w:rsidRPr="00BA1114">
        <w:t xml:space="preserve">and </w:t>
      </w:r>
      <w:r w:rsidR="00630EA1" w:rsidRPr="00BA1114">
        <w:t xml:space="preserve">chapter </w:t>
      </w:r>
      <w:r w:rsidRPr="00BA1114">
        <w:t>3</w:t>
      </w:r>
      <w:r w:rsidR="00630EA1" w:rsidRPr="00BA1114">
        <w:t xml:space="preserve">, section V, </w:t>
      </w:r>
      <w:r w:rsidRPr="00BA1114">
        <w:t>for more details on sound science approach</w:t>
      </w:r>
      <w:r w:rsidR="00630EA1" w:rsidRPr="00BA1114">
        <w:t>es to risk assessment</w:t>
      </w:r>
      <w:r w:rsidRPr="00BA1114">
        <w:t xml:space="preserve"> and adherence to sound science.</w:t>
      </w:r>
    </w:p>
  </w:footnote>
  <w:footnote w:id="5">
    <w:p w14:paraId="30A6B63D" w14:textId="4F7FB0C4" w:rsidR="00DF7AA7" w:rsidRPr="00BA1114" w:rsidRDefault="00DF7AA7" w:rsidP="004649AD">
      <w:pPr>
        <w:pStyle w:val="Testonotaapidipagina"/>
        <w:jc w:val="both"/>
      </w:pPr>
      <w:r w:rsidRPr="00BA1114">
        <w:rPr>
          <w:rStyle w:val="Rimandonotaapidipagina"/>
        </w:rPr>
        <w:footnoteRef/>
      </w:r>
      <w:r w:rsidRPr="00BA1114">
        <w:t xml:space="preserve"> </w:t>
      </w:r>
      <w:r w:rsidR="00630EA1" w:rsidRPr="00BA1114">
        <w:t>See</w:t>
      </w:r>
      <w:r w:rsidR="00074DA1">
        <w:t xml:space="preserve"> above,</w:t>
      </w:r>
      <w:r w:rsidR="00630EA1" w:rsidRPr="00BA1114">
        <w:t xml:space="preserve"> </w:t>
      </w:r>
      <w:r w:rsidR="00630EA1" w:rsidRPr="00074DA1">
        <w:t>chapter 4.</w:t>
      </w:r>
    </w:p>
  </w:footnote>
  <w:footnote w:id="6">
    <w:p w14:paraId="40C3280C" w14:textId="525C4466" w:rsidR="00D8055B" w:rsidRDefault="00D8055B" w:rsidP="004649AD">
      <w:pPr>
        <w:pStyle w:val="Testonotaapidipagina"/>
        <w:jc w:val="both"/>
      </w:pPr>
      <w:r>
        <w:rPr>
          <w:rStyle w:val="Rimandonotaapidipagina"/>
        </w:rPr>
        <w:footnoteRef/>
      </w:r>
      <w:r>
        <w:t xml:space="preserve"> In this respect, see the in depth analysis in chapter 3, section VI.</w:t>
      </w:r>
    </w:p>
  </w:footnote>
  <w:footnote w:id="7">
    <w:p w14:paraId="0A6947F7" w14:textId="77150C84" w:rsidR="0000717E" w:rsidRPr="00BA1114" w:rsidRDefault="0000717E" w:rsidP="004649AD">
      <w:pPr>
        <w:pStyle w:val="Testonotaapidipagina"/>
        <w:jc w:val="both"/>
      </w:pPr>
      <w:r w:rsidRPr="00BA1114">
        <w:rPr>
          <w:rStyle w:val="Rimandonotaapidipagina"/>
        </w:rPr>
        <w:footnoteRef/>
      </w:r>
      <w:r w:rsidRPr="00BA1114">
        <w:t xml:space="preserve"> CRISPR</w:t>
      </w:r>
      <w:r w:rsidR="0030460C" w:rsidRPr="00BA1114">
        <w:t>-Cas9 technology</w:t>
      </w:r>
      <w:r w:rsidR="00687F10">
        <w:t>,</w:t>
      </w:r>
      <w:r w:rsidRPr="00BA1114">
        <w:t xml:space="preserve"> in particular</w:t>
      </w:r>
      <w:r w:rsidR="0030460C" w:rsidRPr="00BA1114">
        <w:t>; see chapter 1, section I.</w:t>
      </w:r>
    </w:p>
  </w:footnote>
  <w:footnote w:id="8">
    <w:p w14:paraId="47B6F446" w14:textId="6E10702A" w:rsidR="004B18DD" w:rsidRPr="00BA1114" w:rsidRDefault="004B18DD" w:rsidP="004649AD">
      <w:pPr>
        <w:pStyle w:val="Testonotaapidipagina"/>
        <w:jc w:val="both"/>
      </w:pPr>
      <w:r w:rsidRPr="00BA1114">
        <w:rPr>
          <w:rStyle w:val="Rimandonotaapidipagina"/>
        </w:rPr>
        <w:footnoteRef/>
      </w:r>
      <w:r w:rsidRPr="00BA1114">
        <w:t xml:space="preserve"> </w:t>
      </w:r>
      <w:r w:rsidR="0030460C" w:rsidRPr="00BA1114">
        <w:t>See chapter 3 (for the gap between p</w:t>
      </w:r>
      <w:r w:rsidRPr="00BA1114">
        <w:t>roduct and process-based models</w:t>
      </w:r>
      <w:r w:rsidR="0030460C" w:rsidRPr="00BA1114">
        <w:t>), and chapter 4, section V in particular (for an analysis of more or less prudential approaches to risk assessment within the EU).</w:t>
      </w:r>
    </w:p>
  </w:footnote>
  <w:footnote w:id="9">
    <w:p w14:paraId="023A3C3B" w14:textId="61683DBB" w:rsidR="007314BA" w:rsidRPr="00BA1114" w:rsidRDefault="007314BA" w:rsidP="004649AD">
      <w:pPr>
        <w:pStyle w:val="Testonotaapidipagina"/>
        <w:jc w:val="both"/>
      </w:pPr>
      <w:r w:rsidRPr="00BA1114">
        <w:rPr>
          <w:rStyle w:val="Rimandonotaapidipagina"/>
        </w:rPr>
        <w:footnoteRef/>
      </w:r>
      <w:r w:rsidRPr="00BA1114">
        <w:t xml:space="preserve"> </w:t>
      </w:r>
      <w:r w:rsidR="0030460C" w:rsidRPr="00BA1114">
        <w:t>See the analysis in c</w:t>
      </w:r>
      <w:r w:rsidRPr="00BA1114">
        <w:t>hapter 5</w:t>
      </w:r>
      <w:r w:rsidR="0030460C" w:rsidRPr="00BA1114">
        <w:t xml:space="preserve">; see </w:t>
      </w:r>
      <w:r w:rsidRPr="00BA1114">
        <w:t>also Leonelli</w:t>
      </w:r>
      <w:r w:rsidR="0030460C" w:rsidRPr="00BA1114">
        <w:t>,</w:t>
      </w:r>
      <w:r w:rsidRPr="00BA1114">
        <w:t xml:space="preserve"> </w:t>
      </w:r>
      <w:r w:rsidRPr="00BA1114">
        <w:rPr>
          <w:highlight w:val="yellow"/>
        </w:rPr>
        <w:t xml:space="preserve">n </w:t>
      </w:r>
      <w:r w:rsidR="00EC6819">
        <w:rPr>
          <w:highlight w:val="yellow"/>
        </w:rPr>
        <w:t>73 in</w:t>
      </w:r>
      <w:r w:rsidR="0030460C" w:rsidRPr="00BA1114">
        <w:rPr>
          <w:highlight w:val="yellow"/>
        </w:rPr>
        <w:t xml:space="preserve"> chapter 1,</w:t>
      </w:r>
      <w:r w:rsidR="0030460C" w:rsidRPr="00BA1114">
        <w:t xml:space="preserve"> for an analysis of judicial review of</w:t>
      </w:r>
      <w:r w:rsidR="00687F10">
        <w:t xml:space="preserve"> EU</w:t>
      </w:r>
      <w:r w:rsidR="0030460C" w:rsidRPr="00BA1114">
        <w:t xml:space="preserve"> risk regulation.</w:t>
      </w:r>
    </w:p>
  </w:footnote>
  <w:footnote w:id="10">
    <w:p w14:paraId="4F1EA1D9" w14:textId="15CE06B0" w:rsidR="00DF7AA7" w:rsidRPr="00BA1114" w:rsidRDefault="00DF7AA7" w:rsidP="004649AD">
      <w:pPr>
        <w:pStyle w:val="Testonotaapidipagina"/>
        <w:jc w:val="both"/>
      </w:pPr>
      <w:r w:rsidRPr="00BA1114">
        <w:rPr>
          <w:rStyle w:val="Rimandonotaapidipagina"/>
        </w:rPr>
        <w:footnoteRef/>
      </w:r>
      <w:r w:rsidRPr="00BA1114">
        <w:t xml:space="preserve"> </w:t>
      </w:r>
      <w:r w:rsidR="0030460C" w:rsidRPr="00BA1114">
        <w:t xml:space="preserve">See </w:t>
      </w:r>
      <w:r w:rsidR="0030460C" w:rsidRPr="00BA1114">
        <w:rPr>
          <w:highlight w:val="yellow"/>
        </w:rPr>
        <w:t xml:space="preserve">n </w:t>
      </w:r>
      <w:r w:rsidR="00EC6819">
        <w:rPr>
          <w:highlight w:val="yellow"/>
        </w:rPr>
        <w:t>131 in</w:t>
      </w:r>
      <w:r w:rsidR="0030460C" w:rsidRPr="00BA1114">
        <w:rPr>
          <w:highlight w:val="yellow"/>
        </w:rPr>
        <w:t xml:space="preserve"> chapter 1.</w:t>
      </w:r>
    </w:p>
  </w:footnote>
  <w:footnote w:id="11">
    <w:p w14:paraId="52E32F56" w14:textId="0202AC0A" w:rsidR="00DF7AA7" w:rsidRPr="00880921" w:rsidRDefault="00DF7AA7" w:rsidP="004649AD">
      <w:pPr>
        <w:pStyle w:val="Testonotaapidipagina"/>
        <w:jc w:val="both"/>
        <w:rPr>
          <w:rFonts w:cs="Times New Roman"/>
        </w:rPr>
      </w:pPr>
      <w:r w:rsidRPr="00BA1114">
        <w:rPr>
          <w:rStyle w:val="Rimandonotaapidipagina"/>
          <w:rFonts w:cs="Times New Roman"/>
        </w:rPr>
        <w:footnoteRef/>
      </w:r>
      <w:r w:rsidR="0030460C" w:rsidRPr="00BA1114">
        <w:rPr>
          <w:rFonts w:cs="Times New Roman"/>
        </w:rPr>
        <w:t xml:space="preserve"> </w:t>
      </w:r>
      <w:r w:rsidR="00C24983" w:rsidRPr="00BA1114">
        <w:t xml:space="preserve">See </w:t>
      </w:r>
      <w:r w:rsidR="00C24983" w:rsidRPr="00BA1114">
        <w:rPr>
          <w:highlight w:val="yellow"/>
        </w:rPr>
        <w:t xml:space="preserve">n </w:t>
      </w:r>
      <w:r w:rsidR="00C24983">
        <w:rPr>
          <w:highlight w:val="yellow"/>
        </w:rPr>
        <w:t>131 in</w:t>
      </w:r>
      <w:r w:rsidR="00C24983" w:rsidRPr="00BA1114">
        <w:rPr>
          <w:highlight w:val="yellow"/>
        </w:rPr>
        <w:t xml:space="preserve"> chapter 1.</w:t>
      </w:r>
      <w:r w:rsidR="00880921">
        <w:t xml:space="preserve"> See also </w:t>
      </w:r>
      <w:r w:rsidR="00880921" w:rsidRPr="005D2992">
        <w:rPr>
          <w:rFonts w:cs="Times New Roman"/>
        </w:rPr>
        <w:t xml:space="preserve">Leonelli, </w:t>
      </w:r>
      <w:r w:rsidR="00880921" w:rsidRPr="005D2992">
        <w:rPr>
          <w:rFonts w:cs="Times New Roman"/>
          <w:highlight w:val="yellow"/>
        </w:rPr>
        <w:t>n 37 in chapter 1.</w:t>
      </w:r>
    </w:p>
  </w:footnote>
  <w:footnote w:id="12">
    <w:p w14:paraId="0F8E80FD" w14:textId="52F50824" w:rsidR="00DF6337" w:rsidRPr="00BA1114" w:rsidRDefault="00DF6337" w:rsidP="004649AD">
      <w:pPr>
        <w:pStyle w:val="Testonotaapidipagina"/>
        <w:jc w:val="both"/>
      </w:pPr>
      <w:r w:rsidRPr="00BA1114">
        <w:rPr>
          <w:rStyle w:val="Rimandonotaapidipagina"/>
        </w:rPr>
        <w:footnoteRef/>
      </w:r>
      <w:r w:rsidRPr="00BA1114">
        <w:t xml:space="preserve"> See chapter 2</w:t>
      </w:r>
      <w:r w:rsidR="000A6684" w:rsidRPr="00BA1114">
        <w:t>, part 2 and section V in particular.</w:t>
      </w:r>
    </w:p>
  </w:footnote>
  <w:footnote w:id="13">
    <w:p w14:paraId="4532F7B9" w14:textId="7FD4C0BD" w:rsidR="006F1C6C" w:rsidRPr="00BA1114" w:rsidRDefault="006F1C6C" w:rsidP="004649AD">
      <w:pPr>
        <w:pStyle w:val="Testonotaapidipagina"/>
        <w:jc w:val="both"/>
      </w:pPr>
      <w:r w:rsidRPr="00BA1114">
        <w:rPr>
          <w:rStyle w:val="Rimandonotaapidipagina"/>
        </w:rPr>
        <w:footnoteRef/>
      </w:r>
      <w:r w:rsidR="000A6684" w:rsidRPr="00BA1114">
        <w:t xml:space="preserve"> See Leonelli, </w:t>
      </w:r>
      <w:r w:rsidR="000A6684" w:rsidRPr="00BA1114">
        <w:rPr>
          <w:highlight w:val="yellow"/>
        </w:rPr>
        <w:t xml:space="preserve">n </w:t>
      </w:r>
      <w:r w:rsidR="00C24983">
        <w:rPr>
          <w:highlight w:val="yellow"/>
        </w:rPr>
        <w:t xml:space="preserve">37 in </w:t>
      </w:r>
      <w:r w:rsidR="000A6684" w:rsidRPr="00BA1114">
        <w:rPr>
          <w:highlight w:val="yellow"/>
        </w:rPr>
        <w:t>chapter 1.</w:t>
      </w:r>
    </w:p>
  </w:footnote>
  <w:footnote w:id="14">
    <w:p w14:paraId="2DD9B16E" w14:textId="1F6D2BEB" w:rsidR="003B2D6C" w:rsidRPr="00BA1114" w:rsidRDefault="003B2D6C" w:rsidP="004649AD">
      <w:pPr>
        <w:pStyle w:val="Testonotaapidipagina"/>
        <w:jc w:val="both"/>
      </w:pPr>
      <w:r w:rsidRPr="00BA1114">
        <w:rPr>
          <w:rStyle w:val="Rimandonotaapidipagina"/>
        </w:rPr>
        <w:footnoteRef/>
      </w:r>
      <w:r w:rsidRPr="00BA1114">
        <w:t xml:space="preserve"> </w:t>
      </w:r>
      <w:r w:rsidR="000A6684" w:rsidRPr="00BA1114">
        <w:t>Ibid.</w:t>
      </w:r>
    </w:p>
  </w:footnote>
  <w:footnote w:id="15">
    <w:p w14:paraId="05C5C208" w14:textId="2C594E47" w:rsidR="003B2D6C" w:rsidRPr="00BA1114" w:rsidRDefault="003B2D6C" w:rsidP="004649AD">
      <w:pPr>
        <w:pStyle w:val="Testonotaapidipagina"/>
        <w:jc w:val="both"/>
      </w:pPr>
      <w:r w:rsidRPr="00BA1114">
        <w:rPr>
          <w:rStyle w:val="Rimandonotaapidipagina"/>
        </w:rPr>
        <w:footnoteRef/>
      </w:r>
      <w:r w:rsidRPr="00BA1114">
        <w:t xml:space="preserve"> </w:t>
      </w:r>
      <w:r w:rsidR="000A6684" w:rsidRPr="00BA1114">
        <w:t>Ibid.</w:t>
      </w:r>
    </w:p>
  </w:footnote>
  <w:footnote w:id="16">
    <w:p w14:paraId="22914AA3" w14:textId="30E5B4B4" w:rsidR="000A6684" w:rsidRPr="00BA1114" w:rsidRDefault="00E647E6" w:rsidP="004649AD">
      <w:pPr>
        <w:pStyle w:val="Testonotaapidipagina"/>
        <w:jc w:val="both"/>
      </w:pPr>
      <w:r w:rsidRPr="00BA1114">
        <w:rPr>
          <w:rStyle w:val="Rimandonotaapidipagina"/>
        </w:rPr>
        <w:footnoteRef/>
      </w:r>
      <w:r w:rsidRPr="00BA1114">
        <w:t xml:space="preserve"> </w:t>
      </w:r>
      <w:r w:rsidR="000A6684" w:rsidRPr="00BA1114">
        <w:t xml:space="preserve">See the famous theorisation of the trilemma in </w:t>
      </w:r>
      <w:bookmarkStart w:id="2" w:name="_Hlk63771160"/>
      <w:r w:rsidR="000A6684" w:rsidRPr="00BA1114">
        <w:t xml:space="preserve">D Rodrik, </w:t>
      </w:r>
      <w:r w:rsidR="000A6684" w:rsidRPr="00BA1114">
        <w:rPr>
          <w:i/>
          <w:iCs/>
        </w:rPr>
        <w:t>The Globalization Paradox: Democracy and the Future of the World Economy</w:t>
      </w:r>
      <w:r w:rsidR="000A6684" w:rsidRPr="00BA1114">
        <w:t xml:space="preserve"> (Norton, 2011).</w:t>
      </w:r>
    </w:p>
    <w:bookmarkEnd w:id="2"/>
  </w:footnote>
  <w:footnote w:id="17">
    <w:p w14:paraId="057C804A" w14:textId="435BC9B8" w:rsidR="00297EB0" w:rsidRPr="00120B88" w:rsidRDefault="00297EB0" w:rsidP="004649AD">
      <w:pPr>
        <w:pStyle w:val="Testonotaapidipagina"/>
        <w:jc w:val="both"/>
      </w:pPr>
      <w:r>
        <w:rPr>
          <w:rStyle w:val="Rimandonotaapidipagina"/>
        </w:rPr>
        <w:footnoteRef/>
      </w:r>
      <w:r w:rsidRPr="00120B88">
        <w:t xml:space="preserve"> Leonelli, </w:t>
      </w:r>
      <w:r w:rsidRPr="00120B88">
        <w:rPr>
          <w:highlight w:val="yellow"/>
        </w:rPr>
        <w:t>n 37 in chapter 1.</w:t>
      </w:r>
    </w:p>
  </w:footnote>
  <w:footnote w:id="18">
    <w:p w14:paraId="4F058667" w14:textId="1A008195" w:rsidR="003B2D6C" w:rsidRPr="00120B88" w:rsidRDefault="003B2D6C" w:rsidP="004649AD">
      <w:pPr>
        <w:pStyle w:val="Testonotaapidipagina"/>
        <w:jc w:val="both"/>
      </w:pPr>
      <w:r w:rsidRPr="00BA1114">
        <w:rPr>
          <w:rStyle w:val="Rimandonotaapidipagina"/>
        </w:rPr>
        <w:footnoteRef/>
      </w:r>
      <w:r w:rsidR="00297EB0" w:rsidRPr="00120B88">
        <w:t xml:space="preserve"> Ibid.</w:t>
      </w:r>
    </w:p>
  </w:footnote>
  <w:footnote w:id="19">
    <w:p w14:paraId="6705B0C5" w14:textId="0C955617" w:rsidR="00E647E6" w:rsidRPr="00BA1114" w:rsidRDefault="00E647E6" w:rsidP="004649AD">
      <w:pPr>
        <w:pStyle w:val="Testonotaapidipagina"/>
        <w:jc w:val="both"/>
      </w:pPr>
      <w:r w:rsidRPr="00BA1114">
        <w:rPr>
          <w:rStyle w:val="Rimandonotaapidipagina"/>
        </w:rPr>
        <w:footnoteRef/>
      </w:r>
      <w:r w:rsidR="000A6684" w:rsidRPr="00BA1114">
        <w:t xml:space="preserve"> See chapter 2, part 2 and section V in particular.</w:t>
      </w:r>
    </w:p>
  </w:footnote>
  <w:footnote w:id="20">
    <w:p w14:paraId="31C267D4" w14:textId="7A55EBA2" w:rsidR="003B2D6C" w:rsidRPr="00BA1114" w:rsidRDefault="003B2D6C" w:rsidP="004649AD">
      <w:pPr>
        <w:pStyle w:val="Testonotaapidipagina"/>
        <w:jc w:val="both"/>
      </w:pPr>
      <w:r w:rsidRPr="00BA1114">
        <w:rPr>
          <w:rStyle w:val="Rimandonotaapidipagina"/>
        </w:rPr>
        <w:footnoteRef/>
      </w:r>
      <w:r w:rsidR="000A6684" w:rsidRPr="00BA1114">
        <w:t xml:space="preserve"> Leonelli,</w:t>
      </w:r>
      <w:r w:rsidR="00C24983">
        <w:t xml:space="preserve"> </w:t>
      </w:r>
      <w:r w:rsidR="00C24983" w:rsidRPr="00BA1114">
        <w:rPr>
          <w:highlight w:val="yellow"/>
        </w:rPr>
        <w:t xml:space="preserve">n </w:t>
      </w:r>
      <w:r w:rsidR="00C24983">
        <w:rPr>
          <w:highlight w:val="yellow"/>
        </w:rPr>
        <w:t xml:space="preserve">37 in </w:t>
      </w:r>
      <w:r w:rsidR="00C24983" w:rsidRPr="00BA1114">
        <w:rPr>
          <w:highlight w:val="yellow"/>
        </w:rPr>
        <w:t>chapter 1.</w:t>
      </w:r>
    </w:p>
  </w:footnote>
  <w:footnote w:id="21">
    <w:p w14:paraId="37EEB8E0" w14:textId="7DCCBD36" w:rsidR="00BA1114" w:rsidRDefault="00BA1114" w:rsidP="004649AD">
      <w:pPr>
        <w:pStyle w:val="Testonotaapidipagina"/>
        <w:jc w:val="both"/>
      </w:pPr>
      <w:r>
        <w:rPr>
          <w:rStyle w:val="Rimandonotaapidipagina"/>
        </w:rPr>
        <w:footnoteRef/>
      </w:r>
      <w:r>
        <w:t xml:space="preserve"> </w:t>
      </w:r>
      <w:bookmarkStart w:id="3" w:name="_Hlk63771248"/>
      <w:r>
        <w:t xml:space="preserve">P </w:t>
      </w:r>
      <w:r w:rsidRPr="00BA1114">
        <w:t xml:space="preserve">Zumbansen, </w:t>
      </w:r>
      <w:r w:rsidRPr="00BA1114">
        <w:rPr>
          <w:highlight w:val="white"/>
        </w:rPr>
        <w:t>“The State as Black Box and the Market as Regulator”</w:t>
      </w:r>
      <w:r w:rsidRPr="00BA1114">
        <w:t xml:space="preserve"> (2009) 165 </w:t>
      </w:r>
      <w:r w:rsidRPr="00BA1114">
        <w:rPr>
          <w:i/>
        </w:rPr>
        <w:t>Journal of Institutional and Theoretical Economics</w:t>
      </w:r>
      <w:r w:rsidRPr="00BA1114">
        <w:t xml:space="preserve"> 62, at 67.</w:t>
      </w:r>
      <w:r w:rsidR="004649AD">
        <w:t xml:space="preserve"> See also </w:t>
      </w:r>
      <w:r w:rsidR="004649AD" w:rsidRPr="00BA1114">
        <w:t xml:space="preserve">Leonelli, </w:t>
      </w:r>
      <w:r w:rsidR="004649AD" w:rsidRPr="00BA1114">
        <w:rPr>
          <w:highlight w:val="yellow"/>
        </w:rPr>
        <w:t xml:space="preserve">n </w:t>
      </w:r>
      <w:r w:rsidR="004649AD">
        <w:rPr>
          <w:highlight w:val="yellow"/>
        </w:rPr>
        <w:t xml:space="preserve">37 in </w:t>
      </w:r>
      <w:r w:rsidR="004649AD" w:rsidRPr="00BA1114">
        <w:rPr>
          <w:highlight w:val="yellow"/>
        </w:rPr>
        <w:t>chapter 1.</w:t>
      </w:r>
    </w:p>
    <w:bookmarkEnd w:id="3"/>
  </w:footnote>
  <w:footnote w:id="22">
    <w:p w14:paraId="00CBA998" w14:textId="45B84DD0" w:rsidR="004649AD" w:rsidRPr="004649AD" w:rsidRDefault="004649AD" w:rsidP="004649AD">
      <w:pPr>
        <w:pStyle w:val="Testonotaapidipagina"/>
        <w:jc w:val="both"/>
      </w:pPr>
      <w:r>
        <w:rPr>
          <w:rStyle w:val="Rimandonotaapidipagina"/>
        </w:rPr>
        <w:footnoteRef/>
      </w:r>
      <w:r>
        <w:t xml:space="preserve"> </w:t>
      </w:r>
      <w:r w:rsidRPr="00BA1114">
        <w:t xml:space="preserve">Leonelli, </w:t>
      </w:r>
      <w:r w:rsidRPr="00BA1114">
        <w:rPr>
          <w:highlight w:val="yellow"/>
        </w:rPr>
        <w:t xml:space="preserve">n </w:t>
      </w:r>
      <w:r>
        <w:rPr>
          <w:highlight w:val="yellow"/>
        </w:rPr>
        <w:t xml:space="preserve">37 in </w:t>
      </w:r>
      <w:r w:rsidRPr="00BA1114">
        <w:rPr>
          <w:highlight w:val="yellow"/>
        </w:rPr>
        <w:t>chapter 1.</w:t>
      </w:r>
    </w:p>
  </w:footnote>
  <w:footnote w:id="23">
    <w:p w14:paraId="6FD46235" w14:textId="5BF1301F" w:rsidR="00FE1FB3" w:rsidRPr="00BA1114" w:rsidRDefault="00FE1FB3" w:rsidP="004649AD">
      <w:pPr>
        <w:pStyle w:val="Testonotaapidipagina"/>
        <w:jc w:val="both"/>
      </w:pPr>
      <w:r w:rsidRPr="00BA1114">
        <w:rPr>
          <w:rStyle w:val="Rimandonotaapidipagina"/>
        </w:rPr>
        <w:footnoteRef/>
      </w:r>
      <w:r w:rsidR="00BA1114" w:rsidRPr="00BA1114">
        <w:t xml:space="preserve"> Leonelli, </w:t>
      </w:r>
      <w:r w:rsidR="00BA1114" w:rsidRPr="00BA1114">
        <w:rPr>
          <w:highlight w:val="yellow"/>
        </w:rPr>
        <w:t xml:space="preserve">n </w:t>
      </w:r>
      <w:r w:rsidR="00450957">
        <w:rPr>
          <w:highlight w:val="yellow"/>
        </w:rPr>
        <w:t>37 in</w:t>
      </w:r>
      <w:r w:rsidR="00BA1114" w:rsidRPr="00BA1114">
        <w:rPr>
          <w:highlight w:val="yellow"/>
        </w:rPr>
        <w:t xml:space="preserve"> chapter 1.</w:t>
      </w:r>
    </w:p>
  </w:footnote>
  <w:footnote w:id="24">
    <w:p w14:paraId="5ABC36BF" w14:textId="3E700D7F" w:rsidR="00FE1FB3" w:rsidRPr="00BA1114" w:rsidRDefault="00FE1FB3" w:rsidP="004649AD">
      <w:pPr>
        <w:pStyle w:val="Testonotaapidipagina"/>
        <w:jc w:val="both"/>
      </w:pPr>
      <w:r w:rsidRPr="00BA1114">
        <w:rPr>
          <w:rStyle w:val="Rimandonotaapidipagina"/>
        </w:rPr>
        <w:footnoteRef/>
      </w:r>
      <w:r w:rsidRPr="00BA1114">
        <w:t xml:space="preserve"> </w:t>
      </w:r>
      <w:r w:rsidR="00BA1114" w:rsidRPr="00BA1114">
        <w:t xml:space="preserve">Leonelli, </w:t>
      </w:r>
      <w:r w:rsidR="00BA1114" w:rsidRPr="00BA1114">
        <w:rPr>
          <w:highlight w:val="yellow"/>
        </w:rPr>
        <w:t xml:space="preserve">n </w:t>
      </w:r>
      <w:r w:rsidR="00450957">
        <w:rPr>
          <w:highlight w:val="yellow"/>
        </w:rPr>
        <w:t>37 in</w:t>
      </w:r>
      <w:r w:rsidR="00BA1114" w:rsidRPr="00BA1114">
        <w:rPr>
          <w:highlight w:val="yellow"/>
        </w:rPr>
        <w:t xml:space="preserve"> chapter 1.</w:t>
      </w:r>
      <w:r w:rsidR="00450957">
        <w:t xml:space="preserve"> With regard to the EU legal order, see </w:t>
      </w:r>
      <w:r w:rsidR="00450957" w:rsidRPr="008219FB">
        <w:rPr>
          <w:rFonts w:eastAsia="TimesNewRomanPSMT" w:cs="Times New Roman"/>
        </w:rPr>
        <w:t xml:space="preserve">Leonelli, </w:t>
      </w:r>
      <w:bookmarkStart w:id="4" w:name="_Hlk56425316"/>
      <w:r w:rsidR="00450957" w:rsidRPr="008219FB">
        <w:rPr>
          <w:rFonts w:cs="Times New Roman"/>
        </w:rPr>
        <w:t>“The Glyphosate Saga and the Fading Democratic Legitimacy of EU Risk Regulation”</w:t>
      </w:r>
      <w:bookmarkEnd w:id="4"/>
      <w:r w:rsidR="00450957">
        <w:rPr>
          <w:rFonts w:cs="Times New Roman"/>
        </w:rPr>
        <w:t xml:space="preserve">, </w:t>
      </w:r>
      <w:r w:rsidR="00450957" w:rsidRPr="00450957">
        <w:rPr>
          <w:rFonts w:cs="Times New Roman"/>
          <w:highlight w:val="yellow"/>
        </w:rPr>
        <w:t>n 1 in chapter 1;</w:t>
      </w:r>
      <w:r w:rsidR="00450957" w:rsidRPr="008219FB">
        <w:rPr>
          <w:rFonts w:cs="Times New Roman"/>
        </w:rPr>
        <w:t xml:space="preserve"> </w:t>
      </w:r>
      <w:r w:rsidR="00450957" w:rsidRPr="008219FB">
        <w:rPr>
          <w:rFonts w:eastAsia="TimesNewRomanPSMT" w:cs="Times New Roman"/>
        </w:rPr>
        <w:t xml:space="preserve">and </w:t>
      </w:r>
      <w:r w:rsidR="00450957" w:rsidRPr="008219FB">
        <w:rPr>
          <w:rFonts w:cs="Times New Roman"/>
        </w:rPr>
        <w:t>Leonelli, “The Perfect Storm: GMO Governance and the EU Technocratic Turn”</w:t>
      </w:r>
      <w:r w:rsidR="00450957">
        <w:rPr>
          <w:rFonts w:cs="Times New Roman"/>
        </w:rPr>
        <w:t xml:space="preserve">, </w:t>
      </w:r>
      <w:r w:rsidR="00450957" w:rsidRPr="00450957">
        <w:rPr>
          <w:rFonts w:cs="Times New Roman"/>
          <w:highlight w:val="yellow"/>
        </w:rPr>
        <w:t>n 1 in chapter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23"/>
    <w:multiLevelType w:val="hybridMultilevel"/>
    <w:tmpl w:val="06C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85BA2"/>
    <w:multiLevelType w:val="hybridMultilevel"/>
    <w:tmpl w:val="7CDC9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9755E"/>
    <w:multiLevelType w:val="hybridMultilevel"/>
    <w:tmpl w:val="66EE1EFC"/>
    <w:lvl w:ilvl="0" w:tplc="DB8AC8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F09C1"/>
    <w:multiLevelType w:val="hybridMultilevel"/>
    <w:tmpl w:val="66EE1EFC"/>
    <w:lvl w:ilvl="0" w:tplc="DB8AC8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1A6F1F"/>
    <w:multiLevelType w:val="hybridMultilevel"/>
    <w:tmpl w:val="D9DAF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DA"/>
    <w:rsid w:val="00004485"/>
    <w:rsid w:val="0000717E"/>
    <w:rsid w:val="0002112A"/>
    <w:rsid w:val="000266A8"/>
    <w:rsid w:val="00031802"/>
    <w:rsid w:val="00040C60"/>
    <w:rsid w:val="00046283"/>
    <w:rsid w:val="00051A5E"/>
    <w:rsid w:val="00055C5D"/>
    <w:rsid w:val="00057498"/>
    <w:rsid w:val="00066607"/>
    <w:rsid w:val="00067FE7"/>
    <w:rsid w:val="000744B3"/>
    <w:rsid w:val="00074DA1"/>
    <w:rsid w:val="000A3E91"/>
    <w:rsid w:val="000A583B"/>
    <w:rsid w:val="000A6684"/>
    <w:rsid w:val="000A7833"/>
    <w:rsid w:val="000B1CF5"/>
    <w:rsid w:val="000B2C9B"/>
    <w:rsid w:val="000C2907"/>
    <w:rsid w:val="000C4F15"/>
    <w:rsid w:val="000D6697"/>
    <w:rsid w:val="000D6760"/>
    <w:rsid w:val="000E60DB"/>
    <w:rsid w:val="000F292B"/>
    <w:rsid w:val="00100C3B"/>
    <w:rsid w:val="00103FCE"/>
    <w:rsid w:val="001125C7"/>
    <w:rsid w:val="00113845"/>
    <w:rsid w:val="00113D05"/>
    <w:rsid w:val="00116E97"/>
    <w:rsid w:val="00120B88"/>
    <w:rsid w:val="00127564"/>
    <w:rsid w:val="00130FC1"/>
    <w:rsid w:val="00133381"/>
    <w:rsid w:val="00136071"/>
    <w:rsid w:val="0013757F"/>
    <w:rsid w:val="00137991"/>
    <w:rsid w:val="00140DC7"/>
    <w:rsid w:val="001446B1"/>
    <w:rsid w:val="00150122"/>
    <w:rsid w:val="001567E8"/>
    <w:rsid w:val="00157E59"/>
    <w:rsid w:val="00163213"/>
    <w:rsid w:val="00167A36"/>
    <w:rsid w:val="00167D83"/>
    <w:rsid w:val="001712A9"/>
    <w:rsid w:val="00171D88"/>
    <w:rsid w:val="00176548"/>
    <w:rsid w:val="00182883"/>
    <w:rsid w:val="00182916"/>
    <w:rsid w:val="001858AD"/>
    <w:rsid w:val="001940B9"/>
    <w:rsid w:val="001B1D0D"/>
    <w:rsid w:val="001B2613"/>
    <w:rsid w:val="001B46F9"/>
    <w:rsid w:val="001B4DF7"/>
    <w:rsid w:val="001D3CE8"/>
    <w:rsid w:val="001D44D9"/>
    <w:rsid w:val="001D7407"/>
    <w:rsid w:val="001E02AE"/>
    <w:rsid w:val="001F3501"/>
    <w:rsid w:val="001F5773"/>
    <w:rsid w:val="00202D15"/>
    <w:rsid w:val="00204E42"/>
    <w:rsid w:val="002100C8"/>
    <w:rsid w:val="002201E7"/>
    <w:rsid w:val="00224296"/>
    <w:rsid w:val="00225F9D"/>
    <w:rsid w:val="00227222"/>
    <w:rsid w:val="002320C0"/>
    <w:rsid w:val="002347C7"/>
    <w:rsid w:val="002462BB"/>
    <w:rsid w:val="0024724C"/>
    <w:rsid w:val="002478FF"/>
    <w:rsid w:val="00250E63"/>
    <w:rsid w:val="002551D4"/>
    <w:rsid w:val="00255463"/>
    <w:rsid w:val="002554FE"/>
    <w:rsid w:val="00257BCF"/>
    <w:rsid w:val="002653D8"/>
    <w:rsid w:val="00266ECB"/>
    <w:rsid w:val="00270ABF"/>
    <w:rsid w:val="00284636"/>
    <w:rsid w:val="002866FE"/>
    <w:rsid w:val="00287EA5"/>
    <w:rsid w:val="00292CA1"/>
    <w:rsid w:val="00297EB0"/>
    <w:rsid w:val="002A17CB"/>
    <w:rsid w:val="002B0003"/>
    <w:rsid w:val="002B1841"/>
    <w:rsid w:val="002B42C8"/>
    <w:rsid w:val="002B6A95"/>
    <w:rsid w:val="002C5B3A"/>
    <w:rsid w:val="002D418D"/>
    <w:rsid w:val="002E6EFA"/>
    <w:rsid w:val="002F3FC1"/>
    <w:rsid w:val="002F5B31"/>
    <w:rsid w:val="00300B43"/>
    <w:rsid w:val="0030460C"/>
    <w:rsid w:val="00310F7B"/>
    <w:rsid w:val="00320930"/>
    <w:rsid w:val="00321B2F"/>
    <w:rsid w:val="00323075"/>
    <w:rsid w:val="00330E51"/>
    <w:rsid w:val="0033553B"/>
    <w:rsid w:val="0033707F"/>
    <w:rsid w:val="003373AE"/>
    <w:rsid w:val="00340295"/>
    <w:rsid w:val="003668F7"/>
    <w:rsid w:val="00386B3E"/>
    <w:rsid w:val="003900FD"/>
    <w:rsid w:val="003902D7"/>
    <w:rsid w:val="00391943"/>
    <w:rsid w:val="003B0ED1"/>
    <w:rsid w:val="003B1630"/>
    <w:rsid w:val="003B2D6C"/>
    <w:rsid w:val="003C6212"/>
    <w:rsid w:val="003C6430"/>
    <w:rsid w:val="003D00D0"/>
    <w:rsid w:val="003D621A"/>
    <w:rsid w:val="003E1860"/>
    <w:rsid w:val="003E3931"/>
    <w:rsid w:val="003F32E6"/>
    <w:rsid w:val="003F4E90"/>
    <w:rsid w:val="00411EA0"/>
    <w:rsid w:val="004219C5"/>
    <w:rsid w:val="00421F34"/>
    <w:rsid w:val="0043002C"/>
    <w:rsid w:val="0043080D"/>
    <w:rsid w:val="0043155C"/>
    <w:rsid w:val="00435FE6"/>
    <w:rsid w:val="00450957"/>
    <w:rsid w:val="004557C7"/>
    <w:rsid w:val="00455990"/>
    <w:rsid w:val="00456885"/>
    <w:rsid w:val="004649AD"/>
    <w:rsid w:val="00471000"/>
    <w:rsid w:val="00472CC0"/>
    <w:rsid w:val="00476620"/>
    <w:rsid w:val="0049162C"/>
    <w:rsid w:val="00492421"/>
    <w:rsid w:val="00492787"/>
    <w:rsid w:val="00495A10"/>
    <w:rsid w:val="004A2C4C"/>
    <w:rsid w:val="004A4DA6"/>
    <w:rsid w:val="004A6E32"/>
    <w:rsid w:val="004A7B09"/>
    <w:rsid w:val="004B18DD"/>
    <w:rsid w:val="004C3B3E"/>
    <w:rsid w:val="004C68C8"/>
    <w:rsid w:val="004D47F9"/>
    <w:rsid w:val="004D5B3B"/>
    <w:rsid w:val="004D7653"/>
    <w:rsid w:val="004E310A"/>
    <w:rsid w:val="004E4353"/>
    <w:rsid w:val="004F170B"/>
    <w:rsid w:val="00504AB7"/>
    <w:rsid w:val="00512594"/>
    <w:rsid w:val="00514E73"/>
    <w:rsid w:val="00532A9F"/>
    <w:rsid w:val="005337D9"/>
    <w:rsid w:val="00534466"/>
    <w:rsid w:val="005357A1"/>
    <w:rsid w:val="0053667D"/>
    <w:rsid w:val="00554E0B"/>
    <w:rsid w:val="00561D31"/>
    <w:rsid w:val="00571234"/>
    <w:rsid w:val="005734DE"/>
    <w:rsid w:val="00576993"/>
    <w:rsid w:val="00580269"/>
    <w:rsid w:val="00582702"/>
    <w:rsid w:val="00583C62"/>
    <w:rsid w:val="0058472F"/>
    <w:rsid w:val="00586392"/>
    <w:rsid w:val="00591156"/>
    <w:rsid w:val="005975C5"/>
    <w:rsid w:val="005B01CA"/>
    <w:rsid w:val="005B271A"/>
    <w:rsid w:val="005C6081"/>
    <w:rsid w:val="005D1CC9"/>
    <w:rsid w:val="005D1FCE"/>
    <w:rsid w:val="005D7445"/>
    <w:rsid w:val="005E77F1"/>
    <w:rsid w:val="005F5166"/>
    <w:rsid w:val="00602538"/>
    <w:rsid w:val="00607338"/>
    <w:rsid w:val="0061328D"/>
    <w:rsid w:val="00620EB4"/>
    <w:rsid w:val="006242D2"/>
    <w:rsid w:val="00630EA1"/>
    <w:rsid w:val="00636130"/>
    <w:rsid w:val="00642AD9"/>
    <w:rsid w:val="00645C58"/>
    <w:rsid w:val="006465A7"/>
    <w:rsid w:val="00651328"/>
    <w:rsid w:val="00656CE2"/>
    <w:rsid w:val="0065791F"/>
    <w:rsid w:val="00661823"/>
    <w:rsid w:val="00663AA0"/>
    <w:rsid w:val="006650E6"/>
    <w:rsid w:val="00671FA9"/>
    <w:rsid w:val="00673F57"/>
    <w:rsid w:val="0067502F"/>
    <w:rsid w:val="00676697"/>
    <w:rsid w:val="00677FFB"/>
    <w:rsid w:val="006819DA"/>
    <w:rsid w:val="00684C7E"/>
    <w:rsid w:val="00685535"/>
    <w:rsid w:val="00687F10"/>
    <w:rsid w:val="00691962"/>
    <w:rsid w:val="006960F0"/>
    <w:rsid w:val="006A32CC"/>
    <w:rsid w:val="006A75FD"/>
    <w:rsid w:val="006A77DA"/>
    <w:rsid w:val="006B29C7"/>
    <w:rsid w:val="006B47EC"/>
    <w:rsid w:val="006B5F96"/>
    <w:rsid w:val="006C30FD"/>
    <w:rsid w:val="006C5D62"/>
    <w:rsid w:val="006E3BF0"/>
    <w:rsid w:val="006F1C6C"/>
    <w:rsid w:val="0070270D"/>
    <w:rsid w:val="00704B5A"/>
    <w:rsid w:val="0071223D"/>
    <w:rsid w:val="00717701"/>
    <w:rsid w:val="00722075"/>
    <w:rsid w:val="00725201"/>
    <w:rsid w:val="00726875"/>
    <w:rsid w:val="007301DB"/>
    <w:rsid w:val="007314BA"/>
    <w:rsid w:val="00737869"/>
    <w:rsid w:val="00744D7A"/>
    <w:rsid w:val="00754B04"/>
    <w:rsid w:val="00757766"/>
    <w:rsid w:val="00757A5A"/>
    <w:rsid w:val="00762FCE"/>
    <w:rsid w:val="00770B1F"/>
    <w:rsid w:val="00772B8D"/>
    <w:rsid w:val="00781EF1"/>
    <w:rsid w:val="00787855"/>
    <w:rsid w:val="00793908"/>
    <w:rsid w:val="007B31E4"/>
    <w:rsid w:val="007C100F"/>
    <w:rsid w:val="007C4666"/>
    <w:rsid w:val="007C4EC3"/>
    <w:rsid w:val="007C5AF1"/>
    <w:rsid w:val="007D6EB9"/>
    <w:rsid w:val="007E1F46"/>
    <w:rsid w:val="007E780C"/>
    <w:rsid w:val="008064AE"/>
    <w:rsid w:val="008141CF"/>
    <w:rsid w:val="00824AD9"/>
    <w:rsid w:val="008319D5"/>
    <w:rsid w:val="008351DF"/>
    <w:rsid w:val="008361E9"/>
    <w:rsid w:val="00837A42"/>
    <w:rsid w:val="00847FDD"/>
    <w:rsid w:val="0085658F"/>
    <w:rsid w:val="00861EE6"/>
    <w:rsid w:val="00875108"/>
    <w:rsid w:val="00877270"/>
    <w:rsid w:val="00880243"/>
    <w:rsid w:val="00880921"/>
    <w:rsid w:val="00881F20"/>
    <w:rsid w:val="00887BFB"/>
    <w:rsid w:val="008A1A46"/>
    <w:rsid w:val="008A3129"/>
    <w:rsid w:val="008A32EE"/>
    <w:rsid w:val="008A4BAB"/>
    <w:rsid w:val="008B2FC7"/>
    <w:rsid w:val="008B30D5"/>
    <w:rsid w:val="008B4416"/>
    <w:rsid w:val="008B64A7"/>
    <w:rsid w:val="008C34F5"/>
    <w:rsid w:val="008C3F9C"/>
    <w:rsid w:val="008D0850"/>
    <w:rsid w:val="008D182F"/>
    <w:rsid w:val="008E1B88"/>
    <w:rsid w:val="008F106E"/>
    <w:rsid w:val="008F4307"/>
    <w:rsid w:val="008F5545"/>
    <w:rsid w:val="00901566"/>
    <w:rsid w:val="0090473D"/>
    <w:rsid w:val="00912E8E"/>
    <w:rsid w:val="00915939"/>
    <w:rsid w:val="00917D6F"/>
    <w:rsid w:val="0092088A"/>
    <w:rsid w:val="0092143A"/>
    <w:rsid w:val="009274C6"/>
    <w:rsid w:val="00933E5B"/>
    <w:rsid w:val="009340E4"/>
    <w:rsid w:val="0094581D"/>
    <w:rsid w:val="009469C6"/>
    <w:rsid w:val="0095017E"/>
    <w:rsid w:val="009565D7"/>
    <w:rsid w:val="00957295"/>
    <w:rsid w:val="0098749F"/>
    <w:rsid w:val="00987DDA"/>
    <w:rsid w:val="00992288"/>
    <w:rsid w:val="009A0DE9"/>
    <w:rsid w:val="009A1839"/>
    <w:rsid w:val="009A3B68"/>
    <w:rsid w:val="009B06E0"/>
    <w:rsid w:val="009C2F1D"/>
    <w:rsid w:val="009D469E"/>
    <w:rsid w:val="009D51E0"/>
    <w:rsid w:val="009D5529"/>
    <w:rsid w:val="009D5F6A"/>
    <w:rsid w:val="009D6F31"/>
    <w:rsid w:val="009D75E3"/>
    <w:rsid w:val="009E1F31"/>
    <w:rsid w:val="009E5DFA"/>
    <w:rsid w:val="009F17F8"/>
    <w:rsid w:val="009F5FAE"/>
    <w:rsid w:val="00A10C62"/>
    <w:rsid w:val="00A14DF7"/>
    <w:rsid w:val="00A15BB9"/>
    <w:rsid w:val="00A171A8"/>
    <w:rsid w:val="00A231AF"/>
    <w:rsid w:val="00A2365F"/>
    <w:rsid w:val="00A24204"/>
    <w:rsid w:val="00A30E6E"/>
    <w:rsid w:val="00A32DCC"/>
    <w:rsid w:val="00A33D2A"/>
    <w:rsid w:val="00A4098C"/>
    <w:rsid w:val="00A411FB"/>
    <w:rsid w:val="00A45AAD"/>
    <w:rsid w:val="00A4668D"/>
    <w:rsid w:val="00A46DE1"/>
    <w:rsid w:val="00A479A1"/>
    <w:rsid w:val="00A51E76"/>
    <w:rsid w:val="00A6253F"/>
    <w:rsid w:val="00A6578E"/>
    <w:rsid w:val="00A66CD5"/>
    <w:rsid w:val="00A70F9F"/>
    <w:rsid w:val="00A717F5"/>
    <w:rsid w:val="00A73377"/>
    <w:rsid w:val="00A830CE"/>
    <w:rsid w:val="00A87F1A"/>
    <w:rsid w:val="00A917FC"/>
    <w:rsid w:val="00AA1E6C"/>
    <w:rsid w:val="00AB4932"/>
    <w:rsid w:val="00AB7516"/>
    <w:rsid w:val="00AC3B2A"/>
    <w:rsid w:val="00AC6416"/>
    <w:rsid w:val="00AD4434"/>
    <w:rsid w:val="00AD4C5F"/>
    <w:rsid w:val="00AE07C8"/>
    <w:rsid w:val="00AE13A1"/>
    <w:rsid w:val="00AE24BA"/>
    <w:rsid w:val="00AE70F2"/>
    <w:rsid w:val="00AF1832"/>
    <w:rsid w:val="00AF4425"/>
    <w:rsid w:val="00AF713D"/>
    <w:rsid w:val="00AF79BB"/>
    <w:rsid w:val="00B02472"/>
    <w:rsid w:val="00B074C1"/>
    <w:rsid w:val="00B079CA"/>
    <w:rsid w:val="00B153AC"/>
    <w:rsid w:val="00B17781"/>
    <w:rsid w:val="00B216B8"/>
    <w:rsid w:val="00B304B7"/>
    <w:rsid w:val="00B32F66"/>
    <w:rsid w:val="00B3565E"/>
    <w:rsid w:val="00B37468"/>
    <w:rsid w:val="00B46C4A"/>
    <w:rsid w:val="00B5017E"/>
    <w:rsid w:val="00B5463D"/>
    <w:rsid w:val="00B54868"/>
    <w:rsid w:val="00B5646E"/>
    <w:rsid w:val="00B6145D"/>
    <w:rsid w:val="00B61E57"/>
    <w:rsid w:val="00B627D8"/>
    <w:rsid w:val="00B65A18"/>
    <w:rsid w:val="00B65C8F"/>
    <w:rsid w:val="00B67C04"/>
    <w:rsid w:val="00B723D0"/>
    <w:rsid w:val="00B76ECB"/>
    <w:rsid w:val="00B91392"/>
    <w:rsid w:val="00B922C4"/>
    <w:rsid w:val="00BA1114"/>
    <w:rsid w:val="00BA19CB"/>
    <w:rsid w:val="00BA2764"/>
    <w:rsid w:val="00BB67DE"/>
    <w:rsid w:val="00BC3F1F"/>
    <w:rsid w:val="00BD0995"/>
    <w:rsid w:val="00BD25D1"/>
    <w:rsid w:val="00BD4654"/>
    <w:rsid w:val="00BD568F"/>
    <w:rsid w:val="00BE1D74"/>
    <w:rsid w:val="00BE2824"/>
    <w:rsid w:val="00BE2E8E"/>
    <w:rsid w:val="00BE696B"/>
    <w:rsid w:val="00BF73A2"/>
    <w:rsid w:val="00C02CB2"/>
    <w:rsid w:val="00C03741"/>
    <w:rsid w:val="00C04E71"/>
    <w:rsid w:val="00C13BC7"/>
    <w:rsid w:val="00C24163"/>
    <w:rsid w:val="00C2426B"/>
    <w:rsid w:val="00C24983"/>
    <w:rsid w:val="00C25040"/>
    <w:rsid w:val="00C254D6"/>
    <w:rsid w:val="00C259D2"/>
    <w:rsid w:val="00C415A5"/>
    <w:rsid w:val="00C41D22"/>
    <w:rsid w:val="00C43AF9"/>
    <w:rsid w:val="00C52C1A"/>
    <w:rsid w:val="00C60D92"/>
    <w:rsid w:val="00C64243"/>
    <w:rsid w:val="00C76E37"/>
    <w:rsid w:val="00C77466"/>
    <w:rsid w:val="00C77746"/>
    <w:rsid w:val="00C83101"/>
    <w:rsid w:val="00C876BD"/>
    <w:rsid w:val="00C87A42"/>
    <w:rsid w:val="00C904EA"/>
    <w:rsid w:val="00C95C52"/>
    <w:rsid w:val="00CC0AD3"/>
    <w:rsid w:val="00CD7646"/>
    <w:rsid w:val="00CE3F62"/>
    <w:rsid w:val="00CE73B1"/>
    <w:rsid w:val="00CF05DD"/>
    <w:rsid w:val="00CF4A55"/>
    <w:rsid w:val="00D0168E"/>
    <w:rsid w:val="00D03C5A"/>
    <w:rsid w:val="00D06B46"/>
    <w:rsid w:val="00D13A7A"/>
    <w:rsid w:val="00D141EC"/>
    <w:rsid w:val="00D15089"/>
    <w:rsid w:val="00D1722D"/>
    <w:rsid w:val="00D21581"/>
    <w:rsid w:val="00D24844"/>
    <w:rsid w:val="00D30297"/>
    <w:rsid w:val="00D330E3"/>
    <w:rsid w:val="00D37664"/>
    <w:rsid w:val="00D37C0B"/>
    <w:rsid w:val="00D5583C"/>
    <w:rsid w:val="00D562A9"/>
    <w:rsid w:val="00D569DE"/>
    <w:rsid w:val="00D6168A"/>
    <w:rsid w:val="00D63001"/>
    <w:rsid w:val="00D6328A"/>
    <w:rsid w:val="00D63872"/>
    <w:rsid w:val="00D6566D"/>
    <w:rsid w:val="00D72D95"/>
    <w:rsid w:val="00D8055B"/>
    <w:rsid w:val="00D81577"/>
    <w:rsid w:val="00D84900"/>
    <w:rsid w:val="00D87EF4"/>
    <w:rsid w:val="00D90AA4"/>
    <w:rsid w:val="00D947CB"/>
    <w:rsid w:val="00D977C3"/>
    <w:rsid w:val="00DA259B"/>
    <w:rsid w:val="00DA3D4F"/>
    <w:rsid w:val="00DA65C5"/>
    <w:rsid w:val="00DB5519"/>
    <w:rsid w:val="00DC1732"/>
    <w:rsid w:val="00DC251E"/>
    <w:rsid w:val="00DC4CC3"/>
    <w:rsid w:val="00DC4DCF"/>
    <w:rsid w:val="00DD7A6B"/>
    <w:rsid w:val="00DE02D0"/>
    <w:rsid w:val="00DF222E"/>
    <w:rsid w:val="00DF6337"/>
    <w:rsid w:val="00DF7AA7"/>
    <w:rsid w:val="00E0020F"/>
    <w:rsid w:val="00E02C56"/>
    <w:rsid w:val="00E114EB"/>
    <w:rsid w:val="00E1662C"/>
    <w:rsid w:val="00E20702"/>
    <w:rsid w:val="00E217CD"/>
    <w:rsid w:val="00E3436B"/>
    <w:rsid w:val="00E3561F"/>
    <w:rsid w:val="00E408FE"/>
    <w:rsid w:val="00E4502A"/>
    <w:rsid w:val="00E4586F"/>
    <w:rsid w:val="00E50EC8"/>
    <w:rsid w:val="00E61749"/>
    <w:rsid w:val="00E618D1"/>
    <w:rsid w:val="00E62B8B"/>
    <w:rsid w:val="00E647E6"/>
    <w:rsid w:val="00E70371"/>
    <w:rsid w:val="00E75791"/>
    <w:rsid w:val="00E761E9"/>
    <w:rsid w:val="00E81A0D"/>
    <w:rsid w:val="00E82313"/>
    <w:rsid w:val="00E90D4B"/>
    <w:rsid w:val="00E96D3E"/>
    <w:rsid w:val="00EA053E"/>
    <w:rsid w:val="00EB39B9"/>
    <w:rsid w:val="00EB4101"/>
    <w:rsid w:val="00EC0615"/>
    <w:rsid w:val="00EC076A"/>
    <w:rsid w:val="00EC6819"/>
    <w:rsid w:val="00ED0963"/>
    <w:rsid w:val="00ED1685"/>
    <w:rsid w:val="00ED412C"/>
    <w:rsid w:val="00ED4BDC"/>
    <w:rsid w:val="00ED718D"/>
    <w:rsid w:val="00EE0DC4"/>
    <w:rsid w:val="00EE2993"/>
    <w:rsid w:val="00EE2F15"/>
    <w:rsid w:val="00EE485B"/>
    <w:rsid w:val="00EF039C"/>
    <w:rsid w:val="00F035FF"/>
    <w:rsid w:val="00F1727B"/>
    <w:rsid w:val="00F2126D"/>
    <w:rsid w:val="00F418AE"/>
    <w:rsid w:val="00F434D4"/>
    <w:rsid w:val="00F52083"/>
    <w:rsid w:val="00F525F2"/>
    <w:rsid w:val="00F549D8"/>
    <w:rsid w:val="00F54CDF"/>
    <w:rsid w:val="00F63E00"/>
    <w:rsid w:val="00F66AC2"/>
    <w:rsid w:val="00F677B1"/>
    <w:rsid w:val="00F73B4E"/>
    <w:rsid w:val="00F80AA3"/>
    <w:rsid w:val="00F82F53"/>
    <w:rsid w:val="00F83608"/>
    <w:rsid w:val="00F87EF3"/>
    <w:rsid w:val="00F9028F"/>
    <w:rsid w:val="00F935BB"/>
    <w:rsid w:val="00F9799C"/>
    <w:rsid w:val="00FA08C8"/>
    <w:rsid w:val="00FB77AA"/>
    <w:rsid w:val="00FB7FB3"/>
    <w:rsid w:val="00FC753D"/>
    <w:rsid w:val="00FD1E56"/>
    <w:rsid w:val="00FD49A2"/>
    <w:rsid w:val="00FD6798"/>
    <w:rsid w:val="00FD6A6D"/>
    <w:rsid w:val="00FD7D60"/>
    <w:rsid w:val="00FE0AB6"/>
    <w:rsid w:val="00FE1FB3"/>
    <w:rsid w:val="00FE34DE"/>
    <w:rsid w:val="00FE46C1"/>
    <w:rsid w:val="00FF116E"/>
    <w:rsid w:val="00FF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F502"/>
  <w15:chartTrackingRefBased/>
  <w15:docId w15:val="{88B4D0C6-B6F6-48EA-B0A9-0D23BE60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9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43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4307"/>
    <w:rPr>
      <w:rFonts w:ascii="Segoe UI" w:hAnsi="Segoe UI" w:cs="Segoe UI"/>
      <w:sz w:val="18"/>
      <w:szCs w:val="18"/>
    </w:rPr>
  </w:style>
  <w:style w:type="paragraph" w:styleId="Intestazione">
    <w:name w:val="header"/>
    <w:basedOn w:val="Normale"/>
    <w:link w:val="IntestazioneCarattere"/>
    <w:uiPriority w:val="99"/>
    <w:unhideWhenUsed/>
    <w:rsid w:val="000B2C9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B2C9B"/>
  </w:style>
  <w:style w:type="paragraph" w:styleId="Pidipagina">
    <w:name w:val="footer"/>
    <w:basedOn w:val="Normale"/>
    <w:link w:val="PidipaginaCarattere"/>
    <w:uiPriority w:val="99"/>
    <w:unhideWhenUsed/>
    <w:rsid w:val="000B2C9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B2C9B"/>
  </w:style>
  <w:style w:type="paragraph" w:styleId="Testonotaapidipagina">
    <w:name w:val="footnote text"/>
    <w:basedOn w:val="Normale"/>
    <w:link w:val="TestonotaapidipaginaCarattere"/>
    <w:uiPriority w:val="99"/>
    <w:unhideWhenUsed/>
    <w:rsid w:val="001940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940B9"/>
    <w:rPr>
      <w:sz w:val="20"/>
      <w:szCs w:val="20"/>
    </w:rPr>
  </w:style>
  <w:style w:type="character" w:styleId="Rimandonotaapidipagina">
    <w:name w:val="footnote reference"/>
    <w:basedOn w:val="Carpredefinitoparagrafo"/>
    <w:uiPriority w:val="99"/>
    <w:unhideWhenUsed/>
    <w:rsid w:val="001940B9"/>
    <w:rPr>
      <w:vertAlign w:val="superscript"/>
    </w:rPr>
  </w:style>
  <w:style w:type="paragraph" w:styleId="Paragrafoelenco">
    <w:name w:val="List Paragraph"/>
    <w:basedOn w:val="Normale"/>
    <w:uiPriority w:val="34"/>
    <w:qFormat/>
    <w:rsid w:val="001940B9"/>
    <w:pPr>
      <w:spacing w:line="256" w:lineRule="auto"/>
      <w:ind w:left="720"/>
      <w:contextualSpacing/>
    </w:pPr>
  </w:style>
  <w:style w:type="character" w:styleId="Rimandocommento">
    <w:name w:val="annotation reference"/>
    <w:basedOn w:val="Carpredefinitoparagrafo"/>
    <w:uiPriority w:val="99"/>
    <w:semiHidden/>
    <w:unhideWhenUsed/>
    <w:rsid w:val="00A411FB"/>
    <w:rPr>
      <w:sz w:val="16"/>
      <w:szCs w:val="16"/>
    </w:rPr>
  </w:style>
  <w:style w:type="paragraph" w:styleId="Testocommento">
    <w:name w:val="annotation text"/>
    <w:basedOn w:val="Normale"/>
    <w:link w:val="TestocommentoCarattere"/>
    <w:uiPriority w:val="99"/>
    <w:unhideWhenUsed/>
    <w:rsid w:val="00A411FB"/>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11FB"/>
    <w:rPr>
      <w:sz w:val="20"/>
      <w:szCs w:val="20"/>
    </w:rPr>
  </w:style>
  <w:style w:type="paragraph" w:customStyle="1" w:styleId="FN">
    <w:name w:val="FN"/>
    <w:basedOn w:val="Normale"/>
    <w:rsid w:val="008C34F5"/>
    <w:pPr>
      <w:spacing w:before="60" w:after="60" w:line="480" w:lineRule="auto"/>
      <w:ind w:left="245" w:hanging="245"/>
    </w:pPr>
    <w:rPr>
      <w:rFonts w:eastAsia="Times New Roman" w:cs="Times New Roman"/>
      <w:lang w:val="en-US"/>
    </w:rPr>
  </w:style>
  <w:style w:type="paragraph" w:customStyle="1" w:styleId="PI">
    <w:name w:val="PI"/>
    <w:basedOn w:val="Normale"/>
    <w:rsid w:val="008C34F5"/>
    <w:pPr>
      <w:spacing w:after="0" w:line="480" w:lineRule="auto"/>
      <w:ind w:firstLine="432"/>
    </w:pPr>
    <w:rPr>
      <w:rFonts w:eastAsia="Times New Roman" w:cs="Times New Roman"/>
      <w:sz w:val="24"/>
      <w:szCs w:val="24"/>
      <w:lang w:val="en-US"/>
    </w:rPr>
  </w:style>
  <w:style w:type="paragraph" w:customStyle="1" w:styleId="P">
    <w:name w:val="P"/>
    <w:next w:val="Normale"/>
    <w:link w:val="PChar"/>
    <w:qFormat/>
    <w:rsid w:val="00136071"/>
    <w:pPr>
      <w:spacing w:before="120" w:after="0" w:line="480" w:lineRule="auto"/>
    </w:pPr>
    <w:rPr>
      <w:rFonts w:eastAsia="Times New Roman" w:cs="Times New Roman"/>
      <w:sz w:val="24"/>
      <w:szCs w:val="20"/>
      <w:lang w:val="en-IN" w:eastAsia="en-IN"/>
    </w:rPr>
  </w:style>
  <w:style w:type="character" w:customStyle="1" w:styleId="PChar">
    <w:name w:val="P Char"/>
    <w:link w:val="P"/>
    <w:rsid w:val="00136071"/>
    <w:rPr>
      <w:rFonts w:eastAsia="Times New Roman" w:cs="Times New Roman"/>
      <w:sz w:val="24"/>
      <w:szCs w:val="20"/>
      <w:lang w:val="en-IN" w:eastAsia="en-IN"/>
    </w:rPr>
  </w:style>
  <w:style w:type="paragraph" w:styleId="Soggettocommento">
    <w:name w:val="annotation subject"/>
    <w:basedOn w:val="Testocommento"/>
    <w:next w:val="Testocommento"/>
    <w:link w:val="SoggettocommentoCarattere"/>
    <w:uiPriority w:val="99"/>
    <w:semiHidden/>
    <w:unhideWhenUsed/>
    <w:rsid w:val="00DA65C5"/>
    <w:rPr>
      <w:b/>
      <w:bCs/>
    </w:rPr>
  </w:style>
  <w:style w:type="character" w:customStyle="1" w:styleId="SoggettocommentoCarattere">
    <w:name w:val="Soggetto commento Carattere"/>
    <w:basedOn w:val="TestocommentoCarattere"/>
    <w:link w:val="Soggettocommento"/>
    <w:uiPriority w:val="99"/>
    <w:semiHidden/>
    <w:rsid w:val="00DA65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2A0B-B22F-4CF9-9F32-1417CC1A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6442</Words>
  <Characters>36723</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Claudia Leonelli</dc:creator>
  <cp:keywords/>
  <dc:description/>
  <cp:lastModifiedBy>Giulia Claudia</cp:lastModifiedBy>
  <cp:revision>239</cp:revision>
  <dcterms:created xsi:type="dcterms:W3CDTF">2020-10-01T15:18:00Z</dcterms:created>
  <dcterms:modified xsi:type="dcterms:W3CDTF">2021-03-30T12:40:00Z</dcterms:modified>
</cp:coreProperties>
</file>