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6C" w:rsidRDefault="005E7D6C" w:rsidP="005E7D6C">
      <w:pPr>
        <w:jc w:val="center"/>
        <w:rPr>
          <w:rFonts w:ascii="Verdana" w:hAnsi="Verdana"/>
          <w:sz w:val="20"/>
          <w:szCs w:val="20"/>
        </w:rPr>
      </w:pPr>
      <w:bookmarkStart w:id="0" w:name="_GoBack"/>
      <w:r>
        <w:rPr>
          <w:rFonts w:ascii="Verdana,Bold" w:hAnsi="Verdana,Bold" w:cs="Verdana,Bold"/>
          <w:b/>
          <w:bCs/>
          <w:color w:val="000080"/>
          <w:sz w:val="28"/>
          <w:szCs w:val="28"/>
        </w:rPr>
        <w:t>THE EFSM AND THE EFSF</w:t>
      </w:r>
      <w:bookmarkEnd w:id="0"/>
      <w:r>
        <w:rPr>
          <w:rFonts w:ascii="Verdana,Bold" w:hAnsi="Verdana,Bold" w:cs="Verdana,Bold"/>
          <w:b/>
          <w:bCs/>
          <w:color w:val="000080"/>
          <w:sz w:val="28"/>
          <w:szCs w:val="28"/>
        </w:rPr>
        <w:t>: NOW AND WHAT FOLLOWS</w:t>
      </w:r>
    </w:p>
    <w:p w:rsidR="00F346AC" w:rsidRDefault="00F346AC" w:rsidP="00F346AC">
      <w:pPr>
        <w:jc w:val="center"/>
        <w:rPr>
          <w:rFonts w:ascii="Verdana" w:hAnsi="Verdana"/>
          <w:sz w:val="20"/>
          <w:szCs w:val="20"/>
        </w:rPr>
      </w:pPr>
      <w:r>
        <w:rPr>
          <w:rFonts w:ascii="Verdana" w:hAnsi="Verdana"/>
          <w:sz w:val="20"/>
          <w:szCs w:val="20"/>
        </w:rPr>
        <w:t xml:space="preserve">Anne </w:t>
      </w:r>
      <w:proofErr w:type="spellStart"/>
      <w:r>
        <w:rPr>
          <w:rFonts w:ascii="Verdana" w:hAnsi="Verdana"/>
          <w:sz w:val="20"/>
          <w:szCs w:val="20"/>
        </w:rPr>
        <w:t>Sibert</w:t>
      </w:r>
      <w:proofErr w:type="spellEnd"/>
      <w:r>
        <w:rPr>
          <w:rFonts w:ascii="Verdana" w:hAnsi="Verdana"/>
          <w:sz w:val="20"/>
          <w:szCs w:val="20"/>
        </w:rPr>
        <w:t xml:space="preserve">, </w:t>
      </w:r>
      <w:proofErr w:type="spellStart"/>
      <w:r>
        <w:rPr>
          <w:rFonts w:ascii="Verdana" w:hAnsi="Verdana"/>
          <w:sz w:val="20"/>
          <w:szCs w:val="20"/>
        </w:rPr>
        <w:t>Birkbeck</w:t>
      </w:r>
      <w:proofErr w:type="spellEnd"/>
      <w:r>
        <w:rPr>
          <w:rFonts w:ascii="Verdana" w:hAnsi="Verdana"/>
          <w:sz w:val="20"/>
          <w:szCs w:val="20"/>
        </w:rPr>
        <w:t xml:space="preserve"> University of London and CEPR</w:t>
      </w:r>
    </w:p>
    <w:p w:rsidR="00F346AC" w:rsidRDefault="00F346AC" w:rsidP="00F346AC">
      <w:pPr>
        <w:jc w:val="center"/>
        <w:rPr>
          <w:rFonts w:ascii="Verdana" w:hAnsi="Verdana"/>
          <w:sz w:val="20"/>
          <w:szCs w:val="20"/>
        </w:rPr>
      </w:pPr>
      <w:r>
        <w:rPr>
          <w:rFonts w:ascii="Verdana" w:hAnsi="Verdana"/>
          <w:sz w:val="20"/>
          <w:szCs w:val="20"/>
        </w:rPr>
        <w:t>August 2010</w:t>
      </w:r>
    </w:p>
    <w:p w:rsidR="00F346AC" w:rsidRDefault="005E7D6C" w:rsidP="00F346AC">
      <w:pPr>
        <w:jc w:val="both"/>
        <w:rPr>
          <w:rFonts w:ascii="Verdana" w:hAnsi="Verdana"/>
          <w:sz w:val="20"/>
          <w:szCs w:val="20"/>
        </w:rPr>
      </w:pPr>
      <w:r w:rsidRPr="005E7D6C">
        <w:rPr>
          <w:rFonts w:ascii="Verdana,Bold" w:hAnsi="Verdana,Bold" w:cs="Verdana,Bold"/>
          <w:b/>
          <w:bCs/>
          <w:color w:val="000080"/>
          <w:sz w:val="20"/>
          <w:szCs w:val="20"/>
        </w:rPr>
        <w:t xml:space="preserve">Abstract: </w:t>
      </w:r>
      <w:r w:rsidR="004C234B">
        <w:rPr>
          <w:rFonts w:ascii="Verdana" w:hAnsi="Verdana"/>
          <w:sz w:val="20"/>
          <w:szCs w:val="20"/>
        </w:rPr>
        <w:t>In this</w:t>
      </w:r>
      <w:r w:rsidR="00F346AC">
        <w:rPr>
          <w:rFonts w:ascii="Verdana" w:hAnsi="Verdana"/>
          <w:sz w:val="20"/>
          <w:szCs w:val="20"/>
        </w:rPr>
        <w:t xml:space="preserve"> paper</w:t>
      </w:r>
      <w:r w:rsidR="004C234B">
        <w:rPr>
          <w:rFonts w:ascii="Verdana" w:hAnsi="Verdana"/>
          <w:sz w:val="20"/>
          <w:szCs w:val="20"/>
        </w:rPr>
        <w:t>, I consider</w:t>
      </w:r>
      <w:r w:rsidR="00F346AC">
        <w:rPr>
          <w:rFonts w:ascii="Verdana" w:hAnsi="Verdana"/>
          <w:sz w:val="20"/>
          <w:szCs w:val="20"/>
        </w:rPr>
        <w:t xml:space="preserve"> the consequences of the decision to establish the European Financial Stabilisation Mechanism and the European Financial Stability Facility. These facilities are temporary in nature and I also consider alternative ways to support the financial stability of the euro area.</w:t>
      </w:r>
    </w:p>
    <w:p w:rsidR="005E7D6C" w:rsidRDefault="005E7D6C" w:rsidP="00F346AC">
      <w:pPr>
        <w:jc w:val="both"/>
        <w:rPr>
          <w:rFonts w:ascii="Verdana" w:hAnsi="Verdana"/>
          <w:sz w:val="20"/>
          <w:szCs w:val="20"/>
        </w:rPr>
      </w:pPr>
      <w:r>
        <w:rPr>
          <w:rFonts w:ascii="Verdana,Bold" w:hAnsi="Verdana,Bold" w:cs="Verdana,Bold"/>
          <w:b/>
          <w:bCs/>
          <w:color w:val="000080"/>
          <w:sz w:val="28"/>
          <w:szCs w:val="28"/>
        </w:rPr>
        <w:t>EXECUTIVE SUMMARY</w:t>
      </w:r>
    </w:p>
    <w:p w:rsidR="00875177" w:rsidRDefault="005E7D6C" w:rsidP="005E7D6C">
      <w:pPr>
        <w:pStyle w:val="ListParagraph"/>
        <w:numPr>
          <w:ilvl w:val="0"/>
          <w:numId w:val="1"/>
        </w:numPr>
        <w:jc w:val="both"/>
        <w:rPr>
          <w:rFonts w:ascii="Verdana" w:hAnsi="Verdana"/>
          <w:sz w:val="20"/>
          <w:szCs w:val="20"/>
        </w:rPr>
      </w:pPr>
      <w:r>
        <w:rPr>
          <w:rFonts w:ascii="Verdana" w:hAnsi="Verdana"/>
          <w:sz w:val="20"/>
          <w:szCs w:val="20"/>
        </w:rPr>
        <w:t xml:space="preserve">In early May 2010 fears that the Greek sovereign debt crisis might prove costly </w:t>
      </w:r>
      <w:proofErr w:type="gramStart"/>
      <w:r>
        <w:rPr>
          <w:rFonts w:ascii="Verdana" w:hAnsi="Verdana"/>
          <w:sz w:val="20"/>
          <w:szCs w:val="20"/>
        </w:rPr>
        <w:t>and</w:t>
      </w:r>
      <w:proofErr w:type="gramEnd"/>
      <w:r>
        <w:rPr>
          <w:rFonts w:ascii="Verdana" w:hAnsi="Verdana"/>
          <w:sz w:val="20"/>
          <w:szCs w:val="20"/>
        </w:rPr>
        <w:t xml:space="preserve"> contagious led to the establishment of new lending facilities. The facilities are an attempt to allow financially troubled euro area member states to borrow at attractive rates. </w:t>
      </w:r>
    </w:p>
    <w:p w:rsidR="001B2F5A" w:rsidRDefault="001B2F5A" w:rsidP="001B2F5A">
      <w:pPr>
        <w:pStyle w:val="ListParagraph"/>
        <w:jc w:val="both"/>
        <w:rPr>
          <w:rFonts w:ascii="Verdana" w:hAnsi="Verdana"/>
          <w:sz w:val="20"/>
          <w:szCs w:val="20"/>
        </w:rPr>
      </w:pPr>
    </w:p>
    <w:p w:rsidR="005E7D6C" w:rsidRDefault="005E7D6C" w:rsidP="005E7D6C">
      <w:pPr>
        <w:pStyle w:val="ListParagraph"/>
        <w:numPr>
          <w:ilvl w:val="0"/>
          <w:numId w:val="1"/>
        </w:numPr>
        <w:jc w:val="both"/>
        <w:rPr>
          <w:rFonts w:ascii="Verdana" w:hAnsi="Verdana"/>
          <w:sz w:val="20"/>
          <w:szCs w:val="20"/>
        </w:rPr>
      </w:pPr>
      <w:r>
        <w:rPr>
          <w:rFonts w:ascii="Verdana" w:hAnsi="Verdana"/>
          <w:sz w:val="20"/>
          <w:szCs w:val="20"/>
        </w:rPr>
        <w:t>T</w:t>
      </w:r>
      <w:r w:rsidR="00875177">
        <w:rPr>
          <w:rFonts w:ascii="Verdana" w:hAnsi="Verdana"/>
          <w:sz w:val="20"/>
          <w:szCs w:val="20"/>
        </w:rPr>
        <w:t>he new facilities have some problems. First, t</w:t>
      </w:r>
      <w:r>
        <w:rPr>
          <w:rFonts w:ascii="Verdana" w:hAnsi="Verdana"/>
          <w:sz w:val="20"/>
          <w:szCs w:val="20"/>
        </w:rPr>
        <w:t>he legal foundation</w:t>
      </w:r>
      <w:r w:rsidR="00875177">
        <w:rPr>
          <w:rFonts w:ascii="Verdana" w:hAnsi="Verdana"/>
          <w:sz w:val="20"/>
          <w:szCs w:val="20"/>
        </w:rPr>
        <w:t xml:space="preserve"> for their existence is shaky</w:t>
      </w:r>
      <w:r>
        <w:rPr>
          <w:rFonts w:ascii="Verdana" w:hAnsi="Verdana"/>
          <w:sz w:val="20"/>
          <w:szCs w:val="20"/>
        </w:rPr>
        <w:t>.</w:t>
      </w:r>
      <w:r w:rsidR="00875177">
        <w:rPr>
          <w:rFonts w:ascii="Verdana" w:hAnsi="Verdana"/>
          <w:sz w:val="20"/>
          <w:szCs w:val="20"/>
        </w:rPr>
        <w:t xml:space="preserve"> Second, the EFSF may have difficulty attaining and maintaining </w:t>
      </w:r>
      <w:proofErr w:type="gramStart"/>
      <w:r w:rsidR="00875177">
        <w:rPr>
          <w:rFonts w:ascii="Verdana" w:hAnsi="Verdana"/>
          <w:sz w:val="20"/>
          <w:szCs w:val="20"/>
        </w:rPr>
        <w:t>a</w:t>
      </w:r>
      <w:proofErr w:type="gramEnd"/>
      <w:r w:rsidR="00875177">
        <w:rPr>
          <w:rFonts w:ascii="Verdana" w:hAnsi="Verdana"/>
          <w:sz w:val="20"/>
          <w:szCs w:val="20"/>
        </w:rPr>
        <w:t xml:space="preserve"> AAA credit rating.</w:t>
      </w:r>
    </w:p>
    <w:p w:rsidR="001B2F5A" w:rsidRDefault="001B2F5A" w:rsidP="001B2F5A">
      <w:pPr>
        <w:pStyle w:val="ListParagraph"/>
        <w:jc w:val="both"/>
        <w:rPr>
          <w:rFonts w:ascii="Verdana" w:hAnsi="Verdana"/>
          <w:sz w:val="20"/>
          <w:szCs w:val="20"/>
        </w:rPr>
      </w:pPr>
    </w:p>
    <w:p w:rsidR="001B2F5A" w:rsidRDefault="001B2F5A" w:rsidP="005E7D6C">
      <w:pPr>
        <w:pStyle w:val="ListParagraph"/>
        <w:numPr>
          <w:ilvl w:val="0"/>
          <w:numId w:val="1"/>
        </w:numPr>
        <w:jc w:val="both"/>
        <w:rPr>
          <w:rFonts w:ascii="Verdana" w:hAnsi="Verdana"/>
          <w:sz w:val="20"/>
          <w:szCs w:val="20"/>
        </w:rPr>
      </w:pPr>
      <w:r>
        <w:rPr>
          <w:rFonts w:ascii="Verdana" w:hAnsi="Verdana"/>
          <w:sz w:val="20"/>
          <w:szCs w:val="20"/>
        </w:rPr>
        <w:t>The rescue plan created over the weekend of 8 – 9 May included both the EFSM and EFSF and the ECB’s securities market program. It was followed by an immediate drop in sovereign interest rate differentials but these differentials have been drifting up since then.</w:t>
      </w:r>
    </w:p>
    <w:p w:rsidR="007D37CB" w:rsidRPr="007D37CB" w:rsidRDefault="007D37CB" w:rsidP="007D37CB">
      <w:pPr>
        <w:pStyle w:val="ListParagraph"/>
        <w:rPr>
          <w:rFonts w:ascii="Verdana" w:hAnsi="Verdana"/>
          <w:sz w:val="20"/>
          <w:szCs w:val="20"/>
        </w:rPr>
      </w:pPr>
    </w:p>
    <w:p w:rsidR="007D37CB" w:rsidRDefault="007D37CB" w:rsidP="005E7D6C">
      <w:pPr>
        <w:pStyle w:val="ListParagraph"/>
        <w:numPr>
          <w:ilvl w:val="0"/>
          <w:numId w:val="1"/>
        </w:numPr>
        <w:jc w:val="both"/>
        <w:rPr>
          <w:rFonts w:ascii="Verdana" w:hAnsi="Verdana"/>
          <w:sz w:val="20"/>
          <w:szCs w:val="20"/>
        </w:rPr>
      </w:pPr>
      <w:r>
        <w:rPr>
          <w:rFonts w:ascii="Verdana" w:hAnsi="Verdana"/>
          <w:sz w:val="20"/>
          <w:szCs w:val="20"/>
        </w:rPr>
        <w:t>The history of the Greek debt crisis and the experience with the Stability and Growth Pact suggest that fiscal criteria are unenforceable, and hence, of little use in ensuring financial stability.</w:t>
      </w:r>
    </w:p>
    <w:p w:rsidR="00AF6A1B" w:rsidRPr="00AF6A1B" w:rsidRDefault="00AF6A1B" w:rsidP="00AF6A1B">
      <w:pPr>
        <w:pStyle w:val="ListParagraph"/>
        <w:rPr>
          <w:rFonts w:ascii="Verdana" w:hAnsi="Verdana"/>
          <w:sz w:val="20"/>
          <w:szCs w:val="20"/>
        </w:rPr>
      </w:pPr>
    </w:p>
    <w:p w:rsidR="00AF6A1B" w:rsidRDefault="00AF6A1B" w:rsidP="005E7D6C">
      <w:pPr>
        <w:pStyle w:val="ListParagraph"/>
        <w:numPr>
          <w:ilvl w:val="0"/>
          <w:numId w:val="1"/>
        </w:numPr>
        <w:jc w:val="both"/>
        <w:rPr>
          <w:rFonts w:ascii="Verdana" w:hAnsi="Verdana"/>
          <w:sz w:val="20"/>
          <w:szCs w:val="20"/>
        </w:rPr>
      </w:pPr>
      <w:r>
        <w:rPr>
          <w:rFonts w:ascii="Verdana" w:hAnsi="Verdana"/>
          <w:sz w:val="20"/>
          <w:szCs w:val="20"/>
        </w:rPr>
        <w:t xml:space="preserve">The interest rate differential between Greek and German government bonds was still surprisingly low at the end of 2009. Insufficient surveillance and the seeming complacency of EU and other policy makers may have played a role. </w:t>
      </w:r>
    </w:p>
    <w:p w:rsidR="00D879A1" w:rsidRPr="00D879A1" w:rsidRDefault="00D879A1" w:rsidP="00D879A1">
      <w:pPr>
        <w:pStyle w:val="ListParagraph"/>
        <w:rPr>
          <w:rFonts w:ascii="Verdana" w:hAnsi="Verdana"/>
          <w:sz w:val="20"/>
          <w:szCs w:val="20"/>
        </w:rPr>
      </w:pPr>
    </w:p>
    <w:p w:rsidR="00D879A1" w:rsidRDefault="00D879A1" w:rsidP="005E7D6C">
      <w:pPr>
        <w:pStyle w:val="ListParagraph"/>
        <w:numPr>
          <w:ilvl w:val="0"/>
          <w:numId w:val="1"/>
        </w:numPr>
        <w:jc w:val="both"/>
        <w:rPr>
          <w:rFonts w:ascii="Verdana" w:hAnsi="Verdana"/>
          <w:sz w:val="20"/>
          <w:szCs w:val="20"/>
        </w:rPr>
      </w:pPr>
      <w:r>
        <w:rPr>
          <w:rFonts w:ascii="Verdana" w:hAnsi="Verdana"/>
          <w:sz w:val="20"/>
          <w:szCs w:val="20"/>
        </w:rPr>
        <w:t xml:space="preserve">Independent </w:t>
      </w:r>
      <w:proofErr w:type="spellStart"/>
      <w:r>
        <w:rPr>
          <w:rFonts w:ascii="Verdana" w:hAnsi="Verdana"/>
          <w:sz w:val="20"/>
          <w:szCs w:val="20"/>
        </w:rPr>
        <w:t>councils</w:t>
      </w:r>
      <w:proofErr w:type="spellEnd"/>
      <w:r>
        <w:rPr>
          <w:rFonts w:ascii="Verdana" w:hAnsi="Verdana"/>
          <w:sz w:val="20"/>
          <w:szCs w:val="20"/>
        </w:rPr>
        <w:t xml:space="preserve"> of auditors and fiscal experts might improve the ability of markets (and voters) to discipline errant fiscal policy makers.</w:t>
      </w:r>
    </w:p>
    <w:p w:rsidR="005B4F41" w:rsidRPr="005B4F41" w:rsidRDefault="005B4F41" w:rsidP="005B4F41">
      <w:pPr>
        <w:pStyle w:val="ListParagraph"/>
        <w:rPr>
          <w:rFonts w:ascii="Verdana" w:hAnsi="Verdana"/>
          <w:sz w:val="20"/>
          <w:szCs w:val="20"/>
        </w:rPr>
      </w:pPr>
    </w:p>
    <w:p w:rsidR="005B4F41" w:rsidRDefault="005B4F41" w:rsidP="005B4F41">
      <w:pPr>
        <w:pStyle w:val="ListParagraph"/>
        <w:numPr>
          <w:ilvl w:val="0"/>
          <w:numId w:val="1"/>
        </w:numPr>
        <w:autoSpaceDE w:val="0"/>
        <w:autoSpaceDN w:val="0"/>
        <w:adjustRightInd w:val="0"/>
        <w:jc w:val="both"/>
        <w:rPr>
          <w:rFonts w:ascii="Verdana" w:hAnsi="Verdana" w:cs="Verdana"/>
          <w:sz w:val="20"/>
          <w:szCs w:val="20"/>
        </w:rPr>
      </w:pPr>
      <w:r>
        <w:rPr>
          <w:rFonts w:ascii="Verdana" w:hAnsi="Verdana" w:cs="Verdana"/>
          <w:sz w:val="20"/>
          <w:szCs w:val="20"/>
        </w:rPr>
        <w:t>T</w:t>
      </w:r>
      <w:r w:rsidRPr="005B4F41">
        <w:rPr>
          <w:rFonts w:ascii="Verdana" w:hAnsi="Verdana" w:cs="Verdana"/>
          <w:sz w:val="20"/>
          <w:szCs w:val="20"/>
        </w:rPr>
        <w:t>he permanent existence of facilities</w:t>
      </w:r>
      <w:r>
        <w:rPr>
          <w:rFonts w:ascii="Verdana" w:hAnsi="Verdana" w:cs="Verdana"/>
          <w:sz w:val="20"/>
          <w:szCs w:val="20"/>
        </w:rPr>
        <w:t xml:space="preserve"> such as the EFSM and the EFSF</w:t>
      </w:r>
      <w:r w:rsidRPr="005B4F41">
        <w:rPr>
          <w:rFonts w:ascii="Verdana" w:hAnsi="Verdana" w:cs="Verdana"/>
          <w:sz w:val="20"/>
          <w:szCs w:val="20"/>
        </w:rPr>
        <w:t xml:space="preserve"> creates a serious moral hazard problem by lowering the risk to a sovereign of following a fiscal policy that might prove to be unsustainable. </w:t>
      </w:r>
    </w:p>
    <w:p w:rsidR="005B4F41" w:rsidRPr="005B4F41" w:rsidRDefault="005B4F41" w:rsidP="005B4F41">
      <w:pPr>
        <w:pStyle w:val="ListParagraph"/>
        <w:rPr>
          <w:rFonts w:ascii="Verdana" w:hAnsi="Verdana" w:cs="Verdana"/>
          <w:sz w:val="20"/>
          <w:szCs w:val="20"/>
        </w:rPr>
      </w:pPr>
    </w:p>
    <w:p w:rsidR="005B4F41" w:rsidRPr="005B4F41" w:rsidRDefault="005B4F41" w:rsidP="005B4F41">
      <w:pPr>
        <w:pStyle w:val="ListParagraph"/>
        <w:numPr>
          <w:ilvl w:val="0"/>
          <w:numId w:val="1"/>
        </w:numPr>
        <w:autoSpaceDE w:val="0"/>
        <w:autoSpaceDN w:val="0"/>
        <w:adjustRightInd w:val="0"/>
        <w:jc w:val="both"/>
        <w:rPr>
          <w:rFonts w:ascii="Verdana" w:hAnsi="Verdana" w:cs="Verdana"/>
          <w:sz w:val="20"/>
          <w:szCs w:val="20"/>
        </w:rPr>
      </w:pPr>
      <w:r>
        <w:rPr>
          <w:rFonts w:ascii="Verdana" w:hAnsi="Verdana" w:cs="Verdana"/>
          <w:sz w:val="20"/>
          <w:szCs w:val="20"/>
        </w:rPr>
        <w:t>Better supervision and regulation would have made the possibility of a Greek sovereign default less costly and could also be expected to lower the costs of other sovereign defaults.</w:t>
      </w:r>
    </w:p>
    <w:p w:rsidR="005B4F41" w:rsidRPr="005E7D6C" w:rsidRDefault="005B4F41" w:rsidP="005B4F41">
      <w:pPr>
        <w:pStyle w:val="ListParagraph"/>
        <w:jc w:val="both"/>
        <w:rPr>
          <w:rFonts w:ascii="Verdana" w:hAnsi="Verdana"/>
          <w:sz w:val="20"/>
          <w:szCs w:val="20"/>
        </w:rPr>
      </w:pPr>
    </w:p>
    <w:p w:rsidR="005B4F41" w:rsidRDefault="005B4F41">
      <w:pPr>
        <w:rPr>
          <w:rFonts w:ascii="Verdana" w:hAnsi="Verdana"/>
          <w:sz w:val="20"/>
          <w:szCs w:val="20"/>
        </w:rPr>
      </w:pPr>
      <w:r>
        <w:rPr>
          <w:rFonts w:ascii="Verdana" w:hAnsi="Verdana"/>
          <w:sz w:val="20"/>
          <w:szCs w:val="20"/>
        </w:rPr>
        <w:br w:type="page"/>
      </w:r>
    </w:p>
    <w:p w:rsidR="009262FA" w:rsidRPr="00F346AC" w:rsidRDefault="009262FA" w:rsidP="008077B9">
      <w:pPr>
        <w:jc w:val="both"/>
        <w:rPr>
          <w:rFonts w:ascii="Verdana" w:hAnsi="Verdana"/>
          <w:sz w:val="20"/>
          <w:szCs w:val="20"/>
        </w:rPr>
      </w:pPr>
      <w:r w:rsidRPr="00F346AC">
        <w:rPr>
          <w:rFonts w:ascii="Verdana" w:hAnsi="Verdana"/>
          <w:sz w:val="20"/>
          <w:szCs w:val="20"/>
        </w:rPr>
        <w:lastRenderedPageBreak/>
        <w:t xml:space="preserve">In this report, I consider the consequences of the establishing the European Financial Stabilisation Mechanism and the European Financial Stabilisation Facility. As these </w:t>
      </w:r>
      <w:proofErr w:type="spellStart"/>
      <w:r w:rsidRPr="00F346AC">
        <w:rPr>
          <w:rFonts w:ascii="Verdana" w:hAnsi="Verdana"/>
          <w:sz w:val="20"/>
          <w:szCs w:val="20"/>
        </w:rPr>
        <w:t>these</w:t>
      </w:r>
      <w:proofErr w:type="spellEnd"/>
      <w:r w:rsidRPr="00F346AC">
        <w:rPr>
          <w:rFonts w:ascii="Verdana" w:hAnsi="Verdana"/>
          <w:sz w:val="20"/>
          <w:szCs w:val="20"/>
        </w:rPr>
        <w:t xml:space="preserve"> institutions are temporary in nature, I consider permanent solutions to support the financial stability of the euro area.</w:t>
      </w:r>
    </w:p>
    <w:p w:rsidR="005E7D6C" w:rsidRDefault="005E7D6C" w:rsidP="005E7D6C">
      <w:pPr>
        <w:jc w:val="both"/>
        <w:rPr>
          <w:rFonts w:ascii="Verdana" w:hAnsi="Verdana"/>
          <w:sz w:val="20"/>
          <w:szCs w:val="20"/>
        </w:rPr>
      </w:pPr>
      <w:r>
        <w:rPr>
          <w:rFonts w:ascii="Verdana,Bold" w:hAnsi="Verdana,Bold" w:cs="Verdana,Bold"/>
          <w:b/>
          <w:bCs/>
          <w:color w:val="000080"/>
          <w:sz w:val="28"/>
          <w:szCs w:val="28"/>
        </w:rPr>
        <w:t>1. THE CONSEQUENCE OF THE EFSM AND THE EFSF</w:t>
      </w:r>
    </w:p>
    <w:p w:rsidR="00DC2544" w:rsidRPr="00F346AC" w:rsidRDefault="000B3CF9" w:rsidP="008077B9">
      <w:pPr>
        <w:jc w:val="both"/>
        <w:rPr>
          <w:rFonts w:ascii="Verdana" w:hAnsi="Verdana"/>
          <w:sz w:val="20"/>
          <w:szCs w:val="20"/>
        </w:rPr>
      </w:pPr>
      <w:r w:rsidRPr="00F346AC">
        <w:rPr>
          <w:rFonts w:ascii="Verdana" w:hAnsi="Verdana"/>
          <w:sz w:val="20"/>
          <w:szCs w:val="20"/>
        </w:rPr>
        <w:t xml:space="preserve">In early May 2010 fears that the Greek sovereign debt crisis might prove </w:t>
      </w:r>
      <w:r w:rsidR="00004417" w:rsidRPr="00F346AC">
        <w:rPr>
          <w:rFonts w:ascii="Verdana" w:hAnsi="Verdana"/>
          <w:sz w:val="20"/>
          <w:szCs w:val="20"/>
        </w:rPr>
        <w:t xml:space="preserve">costly and </w:t>
      </w:r>
      <w:r w:rsidRPr="00F346AC">
        <w:rPr>
          <w:rFonts w:ascii="Verdana" w:hAnsi="Verdana"/>
          <w:sz w:val="20"/>
          <w:szCs w:val="20"/>
        </w:rPr>
        <w:t xml:space="preserve">contagious led European Union policy makers to approve three new lending facilities for </w:t>
      </w:r>
      <w:r w:rsidR="00004417" w:rsidRPr="00F346AC">
        <w:rPr>
          <w:rFonts w:ascii="Verdana" w:hAnsi="Verdana"/>
          <w:sz w:val="20"/>
          <w:szCs w:val="20"/>
        </w:rPr>
        <w:t>e</w:t>
      </w:r>
      <w:r w:rsidRPr="00F346AC">
        <w:rPr>
          <w:rFonts w:ascii="Verdana" w:hAnsi="Verdana"/>
          <w:sz w:val="20"/>
          <w:szCs w:val="20"/>
        </w:rPr>
        <w:t xml:space="preserve">uro area member states in serious financial distress. </w:t>
      </w:r>
      <w:r w:rsidR="00DC2544" w:rsidRPr="00F346AC">
        <w:rPr>
          <w:rFonts w:ascii="Verdana" w:hAnsi="Verdana"/>
          <w:sz w:val="20"/>
          <w:szCs w:val="20"/>
        </w:rPr>
        <w:t xml:space="preserve">In this section I describe how the facilities work and how effective the </w:t>
      </w:r>
      <w:proofErr w:type="spellStart"/>
      <w:r w:rsidR="00DC2544" w:rsidRPr="00F346AC">
        <w:rPr>
          <w:rFonts w:ascii="Verdana" w:hAnsi="Verdana"/>
          <w:sz w:val="20"/>
          <w:szCs w:val="20"/>
        </w:rPr>
        <w:t>the</w:t>
      </w:r>
      <w:proofErr w:type="spellEnd"/>
      <w:r w:rsidR="00DC2544" w:rsidRPr="00F346AC">
        <w:rPr>
          <w:rFonts w:ascii="Verdana" w:hAnsi="Verdana"/>
          <w:sz w:val="20"/>
          <w:szCs w:val="20"/>
        </w:rPr>
        <w:t xml:space="preserve"> EFSM and EFSF have been.</w:t>
      </w:r>
    </w:p>
    <w:p w:rsidR="00DC2544" w:rsidRPr="00577C54" w:rsidRDefault="00577C54" w:rsidP="008077B9">
      <w:pPr>
        <w:jc w:val="both"/>
        <w:rPr>
          <w:rFonts w:ascii="Verdana" w:hAnsi="Verdana"/>
          <w:color w:val="17365D" w:themeColor="text2" w:themeShade="BF"/>
          <w:sz w:val="24"/>
          <w:szCs w:val="24"/>
        </w:rPr>
      </w:pPr>
      <w:r w:rsidRPr="00577C54">
        <w:rPr>
          <w:rFonts w:ascii="Verdana,Bold" w:hAnsi="Verdana,Bold" w:cs="Verdana,Bold"/>
          <w:b/>
          <w:bCs/>
          <w:color w:val="000080"/>
          <w:sz w:val="24"/>
          <w:szCs w:val="24"/>
        </w:rPr>
        <w:t>1</w:t>
      </w:r>
      <w:r>
        <w:rPr>
          <w:rFonts w:ascii="Verdana,Bold" w:hAnsi="Verdana,Bold" w:cs="Verdana,Bold"/>
          <w:b/>
          <w:bCs/>
          <w:color w:val="000080"/>
          <w:sz w:val="24"/>
          <w:szCs w:val="24"/>
        </w:rPr>
        <w:t>.</w:t>
      </w:r>
      <w:r w:rsidR="00A0487E">
        <w:rPr>
          <w:rFonts w:ascii="Verdana,Bold" w:hAnsi="Verdana,Bold" w:cs="Verdana,Bold"/>
          <w:b/>
          <w:bCs/>
          <w:color w:val="000080"/>
          <w:sz w:val="24"/>
          <w:szCs w:val="24"/>
        </w:rPr>
        <w:t>1</w:t>
      </w:r>
      <w:r>
        <w:rPr>
          <w:rFonts w:ascii="Verdana,Bold" w:hAnsi="Verdana,Bold" w:cs="Verdana,Bold"/>
          <w:b/>
          <w:bCs/>
          <w:color w:val="000080"/>
          <w:sz w:val="24"/>
          <w:szCs w:val="24"/>
        </w:rPr>
        <w:t xml:space="preserve"> The New Lending Facilities</w:t>
      </w:r>
      <w:r w:rsidR="00DC2544" w:rsidRPr="00577C54">
        <w:rPr>
          <w:rFonts w:ascii="Verdana" w:hAnsi="Verdana"/>
          <w:color w:val="17365D" w:themeColor="text2" w:themeShade="BF"/>
          <w:sz w:val="24"/>
          <w:szCs w:val="24"/>
        </w:rPr>
        <w:t xml:space="preserve"> </w:t>
      </w:r>
    </w:p>
    <w:p w:rsidR="008077B9" w:rsidRPr="00F346AC" w:rsidRDefault="000B3CF9" w:rsidP="008077B9">
      <w:pPr>
        <w:jc w:val="both"/>
        <w:rPr>
          <w:rFonts w:ascii="Verdana" w:hAnsi="Verdana"/>
          <w:sz w:val="20"/>
          <w:szCs w:val="20"/>
        </w:rPr>
      </w:pPr>
      <w:r w:rsidRPr="00F346AC">
        <w:rPr>
          <w:rFonts w:ascii="Verdana" w:hAnsi="Verdana"/>
          <w:sz w:val="20"/>
          <w:szCs w:val="20"/>
        </w:rPr>
        <w:t xml:space="preserve">The first facility </w:t>
      </w:r>
      <w:r w:rsidR="001A562B">
        <w:rPr>
          <w:rFonts w:ascii="Verdana" w:hAnsi="Verdana"/>
          <w:sz w:val="20"/>
          <w:szCs w:val="20"/>
        </w:rPr>
        <w:t>i</w:t>
      </w:r>
      <w:r w:rsidRPr="00F346AC">
        <w:rPr>
          <w:rFonts w:ascii="Verdana" w:hAnsi="Verdana"/>
          <w:sz w:val="20"/>
          <w:szCs w:val="20"/>
        </w:rPr>
        <w:t>s a 110 billion euro support package for Greece</w:t>
      </w:r>
      <w:r w:rsidR="00B74396">
        <w:rPr>
          <w:rFonts w:ascii="Verdana" w:hAnsi="Verdana"/>
          <w:sz w:val="20"/>
          <w:szCs w:val="20"/>
        </w:rPr>
        <w:t>, approved on 3 May and</w:t>
      </w:r>
      <w:r w:rsidRPr="00F346AC">
        <w:rPr>
          <w:rFonts w:ascii="Verdana" w:hAnsi="Verdana"/>
          <w:sz w:val="20"/>
          <w:szCs w:val="20"/>
        </w:rPr>
        <w:t xml:space="preserve"> provided jointly with the IMF</w:t>
      </w:r>
      <w:r w:rsidR="00B74396">
        <w:rPr>
          <w:rFonts w:ascii="Verdana" w:hAnsi="Verdana"/>
          <w:sz w:val="20"/>
          <w:szCs w:val="20"/>
        </w:rPr>
        <w:t>,</w:t>
      </w:r>
      <w:r w:rsidRPr="00F346AC">
        <w:rPr>
          <w:rFonts w:ascii="Verdana" w:hAnsi="Verdana"/>
          <w:sz w:val="20"/>
          <w:szCs w:val="20"/>
        </w:rPr>
        <w:t xml:space="preserve"> comprising an 80 billion euro </w:t>
      </w:r>
      <w:r w:rsidR="00B74396">
        <w:rPr>
          <w:rFonts w:ascii="Verdana" w:hAnsi="Verdana"/>
          <w:sz w:val="20"/>
          <w:szCs w:val="20"/>
        </w:rPr>
        <w:t>facility</w:t>
      </w:r>
      <w:r w:rsidRPr="00F346AC">
        <w:rPr>
          <w:rFonts w:ascii="Verdana" w:hAnsi="Verdana"/>
          <w:sz w:val="20"/>
          <w:szCs w:val="20"/>
        </w:rPr>
        <w:t xml:space="preserve"> from </w:t>
      </w:r>
      <w:r w:rsidR="00004417" w:rsidRPr="00F346AC">
        <w:rPr>
          <w:rFonts w:ascii="Verdana" w:hAnsi="Verdana"/>
          <w:sz w:val="20"/>
          <w:szCs w:val="20"/>
        </w:rPr>
        <w:t>e</w:t>
      </w:r>
      <w:r w:rsidRPr="00F346AC">
        <w:rPr>
          <w:rFonts w:ascii="Verdana" w:hAnsi="Verdana"/>
          <w:sz w:val="20"/>
          <w:szCs w:val="20"/>
        </w:rPr>
        <w:t>uro area countries and a 30 billion euro Stand-By Arrangement with the Fund.</w:t>
      </w:r>
      <w:r w:rsidR="00807A59" w:rsidRPr="00F346AC">
        <w:rPr>
          <w:rFonts w:ascii="Verdana" w:hAnsi="Verdana"/>
          <w:sz w:val="20"/>
          <w:szCs w:val="20"/>
        </w:rPr>
        <w:t xml:space="preserve"> The second facility </w:t>
      </w:r>
      <w:r w:rsidR="000B2ABE">
        <w:rPr>
          <w:rFonts w:ascii="Verdana" w:hAnsi="Verdana"/>
          <w:sz w:val="20"/>
          <w:szCs w:val="20"/>
        </w:rPr>
        <w:t>is</w:t>
      </w:r>
      <w:r w:rsidR="00807A59" w:rsidRPr="00F346AC">
        <w:rPr>
          <w:rFonts w:ascii="Verdana" w:hAnsi="Verdana"/>
          <w:sz w:val="20"/>
          <w:szCs w:val="20"/>
        </w:rPr>
        <w:t xml:space="preserve"> the European Financial Stabilisation Mechanism (EFSM)</w:t>
      </w:r>
      <w:r w:rsidR="000B2ABE">
        <w:rPr>
          <w:rFonts w:ascii="Verdana" w:hAnsi="Verdana"/>
          <w:sz w:val="20"/>
          <w:szCs w:val="20"/>
        </w:rPr>
        <w:t xml:space="preserve"> with a volume 60 billion euros. It </w:t>
      </w:r>
      <w:r w:rsidR="001A562B">
        <w:rPr>
          <w:rFonts w:ascii="Verdana" w:hAnsi="Verdana"/>
          <w:sz w:val="20"/>
          <w:szCs w:val="20"/>
        </w:rPr>
        <w:t>is</w:t>
      </w:r>
      <w:r w:rsidR="000B2ABE">
        <w:rPr>
          <w:rFonts w:ascii="Verdana" w:hAnsi="Verdana"/>
          <w:sz w:val="20"/>
          <w:szCs w:val="20"/>
        </w:rPr>
        <w:t xml:space="preserve"> administered by the European Commission</w:t>
      </w:r>
      <w:r w:rsidR="001A562B">
        <w:rPr>
          <w:rFonts w:ascii="Verdana" w:hAnsi="Verdana"/>
          <w:sz w:val="20"/>
          <w:szCs w:val="20"/>
        </w:rPr>
        <w:t xml:space="preserve"> and is</w:t>
      </w:r>
      <w:r w:rsidR="000B2ABE">
        <w:rPr>
          <w:rFonts w:ascii="Verdana" w:hAnsi="Verdana"/>
          <w:sz w:val="20"/>
          <w:szCs w:val="20"/>
        </w:rPr>
        <w:t xml:space="preserve"> similar to the facility that </w:t>
      </w:r>
      <w:r w:rsidR="000B2ABE" w:rsidRPr="00F346AC">
        <w:rPr>
          <w:rFonts w:ascii="Verdana" w:hAnsi="Verdana"/>
          <w:sz w:val="20"/>
          <w:szCs w:val="20"/>
        </w:rPr>
        <w:t>had previously been set to help the non-</w:t>
      </w:r>
      <w:r w:rsidR="001A562B">
        <w:rPr>
          <w:rFonts w:ascii="Verdana" w:hAnsi="Verdana"/>
          <w:sz w:val="20"/>
          <w:szCs w:val="20"/>
        </w:rPr>
        <w:t>e</w:t>
      </w:r>
      <w:r w:rsidR="000B2ABE" w:rsidRPr="00F346AC">
        <w:rPr>
          <w:rFonts w:ascii="Verdana" w:hAnsi="Verdana"/>
          <w:sz w:val="20"/>
          <w:szCs w:val="20"/>
        </w:rPr>
        <w:t>uro area countries Latvia, Hungary and Romania</w:t>
      </w:r>
      <w:r w:rsidR="000B2ABE">
        <w:rPr>
          <w:rFonts w:ascii="Verdana" w:hAnsi="Verdana"/>
          <w:sz w:val="20"/>
          <w:szCs w:val="20"/>
        </w:rPr>
        <w:t>.</w:t>
      </w:r>
      <w:r w:rsidR="000B2ABE" w:rsidRPr="00F346AC">
        <w:rPr>
          <w:rFonts w:ascii="Verdana" w:hAnsi="Verdana"/>
          <w:sz w:val="20"/>
          <w:szCs w:val="20"/>
        </w:rPr>
        <w:t xml:space="preserve"> </w:t>
      </w:r>
      <w:r w:rsidR="00807A59" w:rsidRPr="00F346AC">
        <w:rPr>
          <w:rFonts w:ascii="Verdana" w:hAnsi="Verdana"/>
          <w:sz w:val="20"/>
          <w:szCs w:val="20"/>
        </w:rPr>
        <w:t xml:space="preserve">The third </w:t>
      </w:r>
      <w:r w:rsidR="001A562B">
        <w:rPr>
          <w:rFonts w:ascii="Verdana" w:hAnsi="Verdana"/>
          <w:sz w:val="20"/>
          <w:szCs w:val="20"/>
        </w:rPr>
        <w:t>facility i</w:t>
      </w:r>
      <w:r w:rsidR="00807A59" w:rsidRPr="00F346AC">
        <w:rPr>
          <w:rFonts w:ascii="Verdana" w:hAnsi="Verdana"/>
          <w:sz w:val="20"/>
          <w:szCs w:val="20"/>
        </w:rPr>
        <w:t xml:space="preserve">s the European Financial Stability Facility (EFSF): a special purpose vehicle set up to </w:t>
      </w:r>
      <w:r w:rsidR="005A42D8" w:rsidRPr="00F346AC">
        <w:rPr>
          <w:rFonts w:ascii="Verdana" w:hAnsi="Verdana"/>
          <w:sz w:val="20"/>
          <w:szCs w:val="20"/>
        </w:rPr>
        <w:t>make</w:t>
      </w:r>
      <w:r w:rsidR="00807A59" w:rsidRPr="00F346AC">
        <w:rPr>
          <w:rFonts w:ascii="Verdana" w:hAnsi="Verdana"/>
          <w:sz w:val="20"/>
          <w:szCs w:val="20"/>
        </w:rPr>
        <w:t xml:space="preserve"> loans to </w:t>
      </w:r>
      <w:r w:rsidR="00004417" w:rsidRPr="00F346AC">
        <w:rPr>
          <w:rFonts w:ascii="Verdana" w:hAnsi="Verdana"/>
          <w:sz w:val="20"/>
          <w:szCs w:val="20"/>
        </w:rPr>
        <w:t>e</w:t>
      </w:r>
      <w:r w:rsidR="00807A59" w:rsidRPr="00F346AC">
        <w:rPr>
          <w:rFonts w:ascii="Verdana" w:hAnsi="Verdana"/>
          <w:sz w:val="20"/>
          <w:szCs w:val="20"/>
        </w:rPr>
        <w:t>uro area countries, other than Greece, up to an amount of 440 billion euros</w:t>
      </w:r>
      <w:r w:rsidR="00A2513C">
        <w:rPr>
          <w:rFonts w:ascii="Verdana" w:hAnsi="Verdana"/>
          <w:sz w:val="20"/>
          <w:szCs w:val="20"/>
        </w:rPr>
        <w:t>, supplemented with a 250 billion euro IMF commitment</w:t>
      </w:r>
      <w:r w:rsidR="00807A59" w:rsidRPr="00F346AC">
        <w:rPr>
          <w:rFonts w:ascii="Verdana" w:hAnsi="Verdana"/>
          <w:sz w:val="20"/>
          <w:szCs w:val="20"/>
        </w:rPr>
        <w:t xml:space="preserve">. </w:t>
      </w:r>
      <w:r w:rsidR="001A562B">
        <w:rPr>
          <w:rFonts w:ascii="Verdana" w:hAnsi="Verdana"/>
          <w:sz w:val="20"/>
          <w:szCs w:val="20"/>
        </w:rPr>
        <w:t xml:space="preserve">Both the EFSM and the EFSF were agreed by ECOFIN the weekend of 8 – 9 May. </w:t>
      </w:r>
      <w:r w:rsidR="00876690" w:rsidRPr="00F346AC">
        <w:rPr>
          <w:rFonts w:ascii="Verdana" w:hAnsi="Verdana" w:cs="Verdana"/>
          <w:sz w:val="20"/>
          <w:szCs w:val="20"/>
        </w:rPr>
        <w:t xml:space="preserve">Clearly the EFSF is potentially the most important of these three facilities. Set up as a limited liability company owned by </w:t>
      </w:r>
      <w:r w:rsidR="008077B9" w:rsidRPr="00F346AC">
        <w:rPr>
          <w:rFonts w:ascii="Verdana" w:hAnsi="Verdana" w:cs="Verdana"/>
          <w:sz w:val="20"/>
          <w:szCs w:val="20"/>
        </w:rPr>
        <w:t>e</w:t>
      </w:r>
      <w:r w:rsidR="00876690" w:rsidRPr="00F346AC">
        <w:rPr>
          <w:rFonts w:ascii="Verdana" w:hAnsi="Verdana" w:cs="Verdana"/>
          <w:sz w:val="20"/>
          <w:szCs w:val="20"/>
        </w:rPr>
        <w:t xml:space="preserve">uro area member states and located in Luxembourg, it became fully operational on 4 Aug 2010. </w:t>
      </w:r>
      <w:r w:rsidR="00807A59" w:rsidRPr="00F346AC">
        <w:rPr>
          <w:rFonts w:ascii="Verdana" w:hAnsi="Verdana"/>
          <w:sz w:val="20"/>
          <w:szCs w:val="20"/>
        </w:rPr>
        <w:t xml:space="preserve">Loans made by </w:t>
      </w:r>
      <w:r w:rsidR="00876690" w:rsidRPr="00F346AC">
        <w:rPr>
          <w:rFonts w:ascii="Verdana" w:hAnsi="Verdana"/>
          <w:sz w:val="20"/>
          <w:szCs w:val="20"/>
        </w:rPr>
        <w:t xml:space="preserve">both </w:t>
      </w:r>
      <w:r w:rsidR="00807A59" w:rsidRPr="00F346AC">
        <w:rPr>
          <w:rFonts w:ascii="Verdana" w:hAnsi="Verdana"/>
          <w:sz w:val="20"/>
          <w:szCs w:val="20"/>
        </w:rPr>
        <w:t>the EFSM and the EFSF have terms and conditions similar to those made by the IMF</w:t>
      </w:r>
      <w:r w:rsidR="00876690" w:rsidRPr="00F346AC">
        <w:rPr>
          <w:rFonts w:ascii="Verdana" w:hAnsi="Verdana"/>
          <w:sz w:val="20"/>
          <w:szCs w:val="20"/>
        </w:rPr>
        <w:t xml:space="preserve"> and b</w:t>
      </w:r>
      <w:r w:rsidR="00807A59" w:rsidRPr="00F346AC">
        <w:rPr>
          <w:rFonts w:ascii="Verdana" w:hAnsi="Verdana"/>
          <w:sz w:val="20"/>
          <w:szCs w:val="20"/>
        </w:rPr>
        <w:t xml:space="preserve">oth of these facilities are </w:t>
      </w:r>
      <w:r w:rsidR="001D37C7">
        <w:rPr>
          <w:rFonts w:ascii="Verdana" w:hAnsi="Verdana"/>
          <w:sz w:val="20"/>
          <w:szCs w:val="20"/>
        </w:rPr>
        <w:t>temporary: they will make no new loans after</w:t>
      </w:r>
      <w:r w:rsidR="00807A59" w:rsidRPr="00F346AC">
        <w:rPr>
          <w:rFonts w:ascii="Verdana" w:hAnsi="Verdana"/>
          <w:sz w:val="20"/>
          <w:szCs w:val="20"/>
        </w:rPr>
        <w:t xml:space="preserve"> three years.</w:t>
      </w:r>
    </w:p>
    <w:p w:rsidR="00A0487E" w:rsidRPr="00577C54" w:rsidRDefault="00A0487E" w:rsidP="00A0487E">
      <w:pPr>
        <w:jc w:val="both"/>
        <w:rPr>
          <w:rFonts w:ascii="Verdana" w:hAnsi="Verdana"/>
          <w:color w:val="17365D" w:themeColor="text2" w:themeShade="BF"/>
          <w:sz w:val="24"/>
          <w:szCs w:val="24"/>
        </w:rPr>
      </w:pPr>
      <w:r w:rsidRPr="00577C54">
        <w:rPr>
          <w:rFonts w:ascii="Verdana,Bold" w:hAnsi="Verdana,Bold" w:cs="Verdana,Bold"/>
          <w:b/>
          <w:bCs/>
          <w:color w:val="000080"/>
          <w:sz w:val="24"/>
          <w:szCs w:val="24"/>
        </w:rPr>
        <w:t>1</w:t>
      </w:r>
      <w:r>
        <w:rPr>
          <w:rFonts w:ascii="Verdana,Bold" w:hAnsi="Verdana,Bold" w:cs="Verdana,Bold"/>
          <w:b/>
          <w:bCs/>
          <w:color w:val="000080"/>
          <w:sz w:val="24"/>
          <w:szCs w:val="24"/>
        </w:rPr>
        <w:t>.2 The Rationale for and Problems with the EFSM and EFSF</w:t>
      </w:r>
      <w:r w:rsidRPr="00577C54">
        <w:rPr>
          <w:rFonts w:ascii="Verdana" w:hAnsi="Verdana"/>
          <w:color w:val="17365D" w:themeColor="text2" w:themeShade="BF"/>
          <w:sz w:val="24"/>
          <w:szCs w:val="24"/>
        </w:rPr>
        <w:t xml:space="preserve"> </w:t>
      </w:r>
    </w:p>
    <w:p w:rsidR="008077B9" w:rsidRPr="00F346AC" w:rsidRDefault="00325522" w:rsidP="008077B9">
      <w:pPr>
        <w:jc w:val="both"/>
        <w:rPr>
          <w:rFonts w:ascii="Verdana" w:hAnsi="Verdana"/>
          <w:sz w:val="20"/>
          <w:szCs w:val="20"/>
        </w:rPr>
      </w:pPr>
      <w:r w:rsidRPr="00F346AC">
        <w:rPr>
          <w:rFonts w:ascii="Verdana" w:hAnsi="Verdana" w:cs="Verdana"/>
          <w:sz w:val="20"/>
          <w:szCs w:val="20"/>
        </w:rPr>
        <w:t xml:space="preserve">The rationale for the </w:t>
      </w:r>
      <w:r w:rsidR="001C5AB3" w:rsidRPr="00F346AC">
        <w:rPr>
          <w:rFonts w:ascii="Verdana" w:hAnsi="Verdana" w:cs="Verdana"/>
          <w:sz w:val="20"/>
          <w:szCs w:val="20"/>
        </w:rPr>
        <w:t>three</w:t>
      </w:r>
      <w:r w:rsidR="00A0487E">
        <w:rPr>
          <w:rFonts w:ascii="Verdana" w:hAnsi="Verdana" w:cs="Verdana"/>
          <w:sz w:val="20"/>
          <w:szCs w:val="20"/>
        </w:rPr>
        <w:t xml:space="preserve"> new</w:t>
      </w:r>
      <w:r w:rsidR="001C5AB3" w:rsidRPr="00F346AC">
        <w:rPr>
          <w:rFonts w:ascii="Verdana" w:hAnsi="Verdana" w:cs="Verdana"/>
          <w:sz w:val="20"/>
          <w:szCs w:val="20"/>
        </w:rPr>
        <w:t xml:space="preserve"> facilities</w:t>
      </w:r>
      <w:r w:rsidRPr="00F346AC">
        <w:rPr>
          <w:rFonts w:ascii="Verdana" w:hAnsi="Verdana" w:cs="Verdana"/>
          <w:sz w:val="20"/>
          <w:szCs w:val="20"/>
        </w:rPr>
        <w:t xml:space="preserve"> is as follows. Euro area countries have followed unsustainable fiscal policies. Greece is facing a sovereign debt crisis and Portugal, Ireland, Italy and Spain may be in danger, as well. As a result, borrowing costs for many </w:t>
      </w:r>
      <w:r w:rsidR="00A0487E">
        <w:rPr>
          <w:rFonts w:ascii="Verdana" w:hAnsi="Verdana" w:cs="Verdana"/>
          <w:sz w:val="20"/>
          <w:szCs w:val="20"/>
        </w:rPr>
        <w:t>e</w:t>
      </w:r>
      <w:r w:rsidRPr="00F346AC">
        <w:rPr>
          <w:rFonts w:ascii="Verdana" w:hAnsi="Verdana" w:cs="Verdana"/>
          <w:sz w:val="20"/>
          <w:szCs w:val="20"/>
        </w:rPr>
        <w:t>uro area countries are extremely high, tending to make the</w:t>
      </w:r>
      <w:r w:rsidR="00A0487E">
        <w:rPr>
          <w:rFonts w:ascii="Verdana" w:hAnsi="Verdana" w:cs="Verdana"/>
          <w:sz w:val="20"/>
          <w:szCs w:val="20"/>
        </w:rPr>
        <w:t>ir</w:t>
      </w:r>
      <w:r w:rsidRPr="00F346AC">
        <w:rPr>
          <w:rFonts w:ascii="Verdana" w:hAnsi="Verdana" w:cs="Verdana"/>
          <w:sz w:val="20"/>
          <w:szCs w:val="20"/>
        </w:rPr>
        <w:t xml:space="preserve"> fiscal situation even worse. The </w:t>
      </w:r>
      <w:r w:rsidR="00A0487E">
        <w:rPr>
          <w:rFonts w:ascii="Verdana" w:hAnsi="Verdana" w:cs="Verdana"/>
          <w:sz w:val="20"/>
          <w:szCs w:val="20"/>
        </w:rPr>
        <w:t xml:space="preserve">new </w:t>
      </w:r>
      <w:r w:rsidR="001C5AB3" w:rsidRPr="00F346AC">
        <w:rPr>
          <w:rFonts w:ascii="Verdana" w:hAnsi="Verdana" w:cs="Verdana"/>
          <w:sz w:val="20"/>
          <w:szCs w:val="20"/>
        </w:rPr>
        <w:t>facilities</w:t>
      </w:r>
      <w:r w:rsidRPr="00F346AC">
        <w:rPr>
          <w:rFonts w:ascii="Verdana" w:hAnsi="Verdana" w:cs="Verdana"/>
          <w:sz w:val="20"/>
          <w:szCs w:val="20"/>
        </w:rPr>
        <w:t xml:space="preserve"> were created by European Union policy makers to lower the borrowing costs of </w:t>
      </w:r>
      <w:r w:rsidR="00A0487E">
        <w:rPr>
          <w:rFonts w:ascii="Verdana" w:hAnsi="Verdana" w:cs="Verdana"/>
          <w:sz w:val="20"/>
          <w:szCs w:val="20"/>
        </w:rPr>
        <w:t xml:space="preserve">financially </w:t>
      </w:r>
      <w:r w:rsidRPr="00F346AC">
        <w:rPr>
          <w:rFonts w:ascii="Verdana" w:hAnsi="Verdana" w:cs="Verdana"/>
          <w:sz w:val="20"/>
          <w:szCs w:val="20"/>
        </w:rPr>
        <w:t xml:space="preserve">troubled </w:t>
      </w:r>
      <w:r w:rsidR="00854763" w:rsidRPr="00F346AC">
        <w:rPr>
          <w:rFonts w:ascii="Verdana" w:hAnsi="Verdana" w:cs="Verdana"/>
          <w:sz w:val="20"/>
          <w:szCs w:val="20"/>
        </w:rPr>
        <w:t xml:space="preserve">countries. The idea is that if the </w:t>
      </w:r>
      <w:r w:rsidR="00A0487E">
        <w:rPr>
          <w:rFonts w:ascii="Verdana" w:hAnsi="Verdana" w:cs="Verdana"/>
          <w:sz w:val="20"/>
          <w:szCs w:val="20"/>
        </w:rPr>
        <w:t>e</w:t>
      </w:r>
      <w:r w:rsidR="00854763" w:rsidRPr="00F346AC">
        <w:rPr>
          <w:rFonts w:ascii="Verdana" w:hAnsi="Verdana" w:cs="Verdana"/>
          <w:sz w:val="20"/>
          <w:szCs w:val="20"/>
        </w:rPr>
        <w:t xml:space="preserve">uro area borrows as a whole, it can get better rates than a troubled country </w:t>
      </w:r>
      <w:r w:rsidR="00A0487E">
        <w:rPr>
          <w:rFonts w:ascii="Verdana" w:hAnsi="Verdana" w:cs="Verdana"/>
          <w:sz w:val="20"/>
          <w:szCs w:val="20"/>
        </w:rPr>
        <w:t xml:space="preserve">can </w:t>
      </w:r>
      <w:r w:rsidR="00854763" w:rsidRPr="00F346AC">
        <w:rPr>
          <w:rFonts w:ascii="Verdana" w:hAnsi="Verdana" w:cs="Verdana"/>
          <w:sz w:val="20"/>
          <w:szCs w:val="20"/>
        </w:rPr>
        <w:t xml:space="preserve">and it can pass on these rates to this country. </w:t>
      </w:r>
    </w:p>
    <w:p w:rsidR="008A5709" w:rsidRPr="00F346AC" w:rsidRDefault="008077B9" w:rsidP="00EE71ED">
      <w:pPr>
        <w:jc w:val="both"/>
        <w:rPr>
          <w:rFonts w:ascii="Verdana" w:hAnsi="Verdana"/>
          <w:sz w:val="20"/>
          <w:szCs w:val="20"/>
        </w:rPr>
      </w:pPr>
      <w:r w:rsidRPr="00F346AC">
        <w:rPr>
          <w:rFonts w:ascii="Verdana" w:hAnsi="Verdana" w:cs="Verdana"/>
          <w:sz w:val="20"/>
          <w:szCs w:val="20"/>
        </w:rPr>
        <w:t xml:space="preserve">Unfortunately, the lower borrowing costs come with a </w:t>
      </w:r>
      <w:r w:rsidR="00854763" w:rsidRPr="00F346AC">
        <w:rPr>
          <w:rFonts w:ascii="Verdana" w:hAnsi="Verdana" w:cs="Verdana"/>
          <w:sz w:val="20"/>
          <w:szCs w:val="20"/>
        </w:rPr>
        <w:t xml:space="preserve">political problem. </w:t>
      </w:r>
      <w:r w:rsidR="00234F97" w:rsidRPr="00F346AC">
        <w:rPr>
          <w:rFonts w:ascii="Verdana" w:hAnsi="Verdana" w:cs="Verdana"/>
          <w:sz w:val="20"/>
          <w:szCs w:val="20"/>
        </w:rPr>
        <w:t>If so</w:t>
      </w:r>
      <w:r w:rsidR="00A0487E">
        <w:rPr>
          <w:rFonts w:ascii="Verdana" w:hAnsi="Verdana" w:cs="Verdana"/>
          <w:sz w:val="20"/>
          <w:szCs w:val="20"/>
        </w:rPr>
        <w:t>me</w:t>
      </w:r>
      <w:r w:rsidR="00234F97" w:rsidRPr="00F346AC">
        <w:rPr>
          <w:rFonts w:ascii="Verdana" w:hAnsi="Verdana" w:cs="Verdana"/>
          <w:sz w:val="20"/>
          <w:szCs w:val="20"/>
        </w:rPr>
        <w:t xml:space="preserve"> </w:t>
      </w:r>
      <w:r w:rsidR="00A0487E">
        <w:rPr>
          <w:rFonts w:ascii="Verdana" w:hAnsi="Verdana" w:cs="Verdana"/>
          <w:sz w:val="20"/>
          <w:szCs w:val="20"/>
        </w:rPr>
        <w:t>e</w:t>
      </w:r>
      <w:r w:rsidR="00234F97" w:rsidRPr="00F346AC">
        <w:rPr>
          <w:rFonts w:ascii="Verdana" w:hAnsi="Verdana" w:cs="Verdana"/>
          <w:sz w:val="20"/>
          <w:szCs w:val="20"/>
        </w:rPr>
        <w:t xml:space="preserve">uro area countries </w:t>
      </w:r>
      <w:r w:rsidR="00A0487E">
        <w:rPr>
          <w:rFonts w:ascii="Verdana" w:hAnsi="Verdana" w:cs="Verdana"/>
          <w:sz w:val="20"/>
          <w:szCs w:val="20"/>
        </w:rPr>
        <w:t xml:space="preserve">must make good on the </w:t>
      </w:r>
      <w:r w:rsidRPr="00F346AC">
        <w:rPr>
          <w:rFonts w:ascii="Verdana" w:hAnsi="Verdana" w:cs="Verdana"/>
          <w:sz w:val="20"/>
          <w:szCs w:val="20"/>
        </w:rPr>
        <w:t>e</w:t>
      </w:r>
      <w:r w:rsidR="00234F97" w:rsidRPr="00F346AC">
        <w:rPr>
          <w:rFonts w:ascii="Verdana" w:hAnsi="Verdana" w:cs="Verdana"/>
          <w:sz w:val="20"/>
          <w:szCs w:val="20"/>
        </w:rPr>
        <w:t>uro area</w:t>
      </w:r>
      <w:r w:rsidR="00A0487E">
        <w:rPr>
          <w:rFonts w:ascii="Verdana" w:hAnsi="Verdana" w:cs="Verdana"/>
          <w:sz w:val="20"/>
          <w:szCs w:val="20"/>
        </w:rPr>
        <w:t>’s guarantee</w:t>
      </w:r>
      <w:r w:rsidR="00234F97" w:rsidRPr="00F346AC">
        <w:rPr>
          <w:rFonts w:ascii="Verdana" w:hAnsi="Verdana" w:cs="Verdana"/>
          <w:sz w:val="20"/>
          <w:szCs w:val="20"/>
        </w:rPr>
        <w:t xml:space="preserve"> as a whole in the case of one or more other </w:t>
      </w:r>
      <w:r w:rsidRPr="00F346AC">
        <w:rPr>
          <w:rFonts w:ascii="Verdana" w:hAnsi="Verdana" w:cs="Verdana"/>
          <w:sz w:val="20"/>
          <w:szCs w:val="20"/>
        </w:rPr>
        <w:t>e</w:t>
      </w:r>
      <w:r w:rsidR="00234F97" w:rsidRPr="00F346AC">
        <w:rPr>
          <w:rFonts w:ascii="Verdana" w:hAnsi="Verdana" w:cs="Verdana"/>
          <w:sz w:val="20"/>
          <w:szCs w:val="20"/>
        </w:rPr>
        <w:t xml:space="preserve">uro area countries defaulting, then this is a transfer of wealth from </w:t>
      </w:r>
      <w:r w:rsidR="00A0487E">
        <w:rPr>
          <w:rFonts w:ascii="Verdana" w:hAnsi="Verdana" w:cs="Verdana"/>
          <w:sz w:val="20"/>
          <w:szCs w:val="20"/>
        </w:rPr>
        <w:t>these</w:t>
      </w:r>
      <w:r w:rsidR="00234F97" w:rsidRPr="00F346AC">
        <w:rPr>
          <w:rFonts w:ascii="Verdana" w:hAnsi="Verdana" w:cs="Verdana"/>
          <w:sz w:val="20"/>
          <w:szCs w:val="20"/>
        </w:rPr>
        <w:t xml:space="preserve"> countries to one or more others. It may be seen as a violation of the </w:t>
      </w:r>
      <w:r w:rsidR="008A5709" w:rsidRPr="00F346AC">
        <w:rPr>
          <w:rFonts w:ascii="Verdana" w:hAnsi="Verdana" w:cs="Verdana"/>
          <w:sz w:val="20"/>
          <w:szCs w:val="20"/>
        </w:rPr>
        <w:t>so-called “no bailout clause”, Article 125.1 of the Treaty (consolidated version) which says:</w:t>
      </w:r>
    </w:p>
    <w:p w:rsidR="008A5709" w:rsidRPr="00F346AC" w:rsidRDefault="008A5709" w:rsidP="008077B9">
      <w:pPr>
        <w:autoSpaceDE w:val="0"/>
        <w:autoSpaceDN w:val="0"/>
        <w:adjustRightInd w:val="0"/>
        <w:spacing w:after="0" w:line="240" w:lineRule="auto"/>
        <w:ind w:left="567" w:right="567"/>
        <w:jc w:val="both"/>
        <w:rPr>
          <w:rFonts w:ascii="Verdana" w:hAnsi="Verdana" w:cs="Verdana"/>
          <w:i/>
          <w:sz w:val="20"/>
          <w:szCs w:val="20"/>
        </w:rPr>
      </w:pPr>
      <w:r w:rsidRPr="00F346AC">
        <w:rPr>
          <w:rFonts w:ascii="Verdana" w:hAnsi="Verdana" w:cs="Verdana"/>
          <w:i/>
          <w:sz w:val="20"/>
          <w:szCs w:val="20"/>
        </w:rPr>
        <w:t>The Union shall not be liable for or assume the commitments of central governments, regional,</w:t>
      </w:r>
      <w:r w:rsidR="008077B9" w:rsidRPr="00F346AC">
        <w:rPr>
          <w:rFonts w:ascii="Verdana" w:hAnsi="Verdana" w:cs="Verdana"/>
          <w:i/>
          <w:sz w:val="20"/>
          <w:szCs w:val="20"/>
        </w:rPr>
        <w:t xml:space="preserve"> </w:t>
      </w:r>
      <w:r w:rsidRPr="00F346AC">
        <w:rPr>
          <w:rFonts w:ascii="Verdana" w:hAnsi="Verdana" w:cs="Verdana"/>
          <w:i/>
          <w:sz w:val="20"/>
          <w:szCs w:val="20"/>
        </w:rPr>
        <w:t xml:space="preserve">local or other public authorities, other bodies governed by public law, or public undertakings of any Member State, without prejudice to mutual financial guarantees for the joint execution of a specific project. A Member State shall not be liable for or assume the commitments of </w:t>
      </w:r>
      <w:r w:rsidRPr="00F346AC">
        <w:rPr>
          <w:rFonts w:ascii="Verdana" w:hAnsi="Verdana" w:cs="Verdana"/>
          <w:i/>
          <w:sz w:val="20"/>
          <w:szCs w:val="20"/>
        </w:rPr>
        <w:lastRenderedPageBreak/>
        <w:t>central governments, regional, local or other public authorities, other bodies governed by public law, or public undertakings of another Member State, without prejudice to mutual financial guarantees for the joint execution of a specific project.</w:t>
      </w:r>
    </w:p>
    <w:p w:rsidR="00325522" w:rsidRPr="00F346AC" w:rsidRDefault="00325522" w:rsidP="009262FA">
      <w:pPr>
        <w:autoSpaceDE w:val="0"/>
        <w:autoSpaceDN w:val="0"/>
        <w:adjustRightInd w:val="0"/>
        <w:spacing w:after="0" w:line="240" w:lineRule="auto"/>
        <w:ind w:firstLine="720"/>
        <w:jc w:val="both"/>
        <w:rPr>
          <w:rFonts w:ascii="Verdana" w:hAnsi="Verdana" w:cs="Verdana"/>
          <w:sz w:val="20"/>
          <w:szCs w:val="20"/>
        </w:rPr>
      </w:pPr>
    </w:p>
    <w:p w:rsidR="00B0109F" w:rsidRPr="00F346AC" w:rsidRDefault="00B0109F" w:rsidP="008077B9">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In the case of the Greek rescue package, it is likely that expediency overcame the aversion that more fiscally prudent countries had toward bailing out more profligate countries. German and French banks were highly exposed to Greek debt and these countries feared their banking systems would be destabilised by a Greek sovereign default. Other troubled </w:t>
      </w:r>
      <w:r w:rsidR="008077B9" w:rsidRPr="00F346AC">
        <w:rPr>
          <w:rFonts w:ascii="Verdana" w:hAnsi="Verdana" w:cs="Verdana"/>
          <w:sz w:val="20"/>
          <w:szCs w:val="20"/>
        </w:rPr>
        <w:t>e</w:t>
      </w:r>
      <w:r w:rsidRPr="00F346AC">
        <w:rPr>
          <w:rFonts w:ascii="Verdana" w:hAnsi="Verdana" w:cs="Verdana"/>
          <w:sz w:val="20"/>
          <w:szCs w:val="20"/>
        </w:rPr>
        <w:t xml:space="preserve">uro area countries probably envisioned themselves as possible beneficiaries of similar packages sometime in near future. </w:t>
      </w:r>
    </w:p>
    <w:p w:rsidR="00325522" w:rsidRPr="00F346AC" w:rsidRDefault="00B0109F" w:rsidP="008077B9">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The EFSM’s </w:t>
      </w:r>
      <w:r w:rsidR="00325522" w:rsidRPr="00F346AC">
        <w:rPr>
          <w:rFonts w:ascii="Verdana" w:hAnsi="Verdana" w:cs="Verdana"/>
          <w:sz w:val="20"/>
          <w:szCs w:val="20"/>
        </w:rPr>
        <w:t xml:space="preserve">debt is backed by the EU budget; hence, its securities are viewed as good quality. </w:t>
      </w:r>
      <w:proofErr w:type="gramStart"/>
      <w:r w:rsidR="00325522" w:rsidRPr="00F346AC">
        <w:rPr>
          <w:rFonts w:ascii="Verdana" w:hAnsi="Verdana" w:cs="Verdana"/>
          <w:sz w:val="20"/>
          <w:szCs w:val="20"/>
        </w:rPr>
        <w:t xml:space="preserve">However, </w:t>
      </w:r>
      <w:r w:rsidR="008A5709" w:rsidRPr="00F346AC">
        <w:rPr>
          <w:rFonts w:ascii="Verdana" w:hAnsi="Verdana" w:cs="Verdana"/>
          <w:sz w:val="20"/>
          <w:szCs w:val="20"/>
        </w:rPr>
        <w:t xml:space="preserve">given article 125.1, </w:t>
      </w:r>
      <w:r w:rsidR="00325522" w:rsidRPr="00F346AC">
        <w:rPr>
          <w:rFonts w:ascii="Verdana" w:hAnsi="Verdana" w:cs="Verdana"/>
          <w:sz w:val="20"/>
          <w:szCs w:val="20"/>
        </w:rPr>
        <w:t>th</w:t>
      </w:r>
      <w:r w:rsidRPr="00F346AC">
        <w:rPr>
          <w:rFonts w:ascii="Verdana" w:hAnsi="Verdana" w:cs="Verdana"/>
          <w:sz w:val="20"/>
          <w:szCs w:val="20"/>
        </w:rPr>
        <w:t>is</w:t>
      </w:r>
      <w:r w:rsidR="00325522" w:rsidRPr="00F346AC">
        <w:rPr>
          <w:rFonts w:ascii="Verdana" w:hAnsi="Verdana" w:cs="Verdana"/>
          <w:sz w:val="20"/>
          <w:szCs w:val="20"/>
        </w:rPr>
        <w:t xml:space="preserve"> joint</w:t>
      </w:r>
      <w:r w:rsidR="00A0487E">
        <w:rPr>
          <w:rFonts w:ascii="Verdana" w:hAnsi="Verdana" w:cs="Verdana"/>
          <w:sz w:val="20"/>
          <w:szCs w:val="20"/>
        </w:rPr>
        <w:t xml:space="preserve"> and several guarantee</w:t>
      </w:r>
      <w:r w:rsidR="00325522" w:rsidRPr="00F346AC">
        <w:rPr>
          <w:rFonts w:ascii="Verdana" w:hAnsi="Verdana" w:cs="Verdana"/>
          <w:sz w:val="20"/>
          <w:szCs w:val="20"/>
        </w:rPr>
        <w:t xml:space="preserve"> raise</w:t>
      </w:r>
      <w:r w:rsidR="001F4DC4" w:rsidRPr="00F346AC">
        <w:rPr>
          <w:rFonts w:ascii="Verdana" w:hAnsi="Verdana" w:cs="Verdana"/>
          <w:sz w:val="20"/>
          <w:szCs w:val="20"/>
        </w:rPr>
        <w:t>s</w:t>
      </w:r>
      <w:r w:rsidR="00325522" w:rsidRPr="00F346AC">
        <w:rPr>
          <w:rFonts w:ascii="Verdana" w:hAnsi="Verdana" w:cs="Verdana"/>
          <w:sz w:val="20"/>
          <w:szCs w:val="20"/>
        </w:rPr>
        <w:t xml:space="preserve"> troubling questions about its legality.</w:t>
      </w:r>
      <w:proofErr w:type="gramEnd"/>
      <w:r w:rsidR="00325522" w:rsidRPr="00F346AC">
        <w:rPr>
          <w:rFonts w:ascii="Verdana" w:hAnsi="Verdana" w:cs="Verdana"/>
          <w:sz w:val="20"/>
          <w:szCs w:val="20"/>
        </w:rPr>
        <w:t xml:space="preserve"> Its legal justification is supposedly derived from Article 122.2 of the Treaty (consolidated version) which states that “[w]here a Member State is in difficulties or is seriously threatened with severe difficulties caused by natural disasters or exceptional occurrences beyond its control, the Council, on a proposal from the Commission, may grant, under certain conditions, Union financial assistance to the Member State </w:t>
      </w:r>
      <w:r w:rsidR="00854763" w:rsidRPr="00F346AC">
        <w:rPr>
          <w:rFonts w:ascii="Verdana" w:hAnsi="Verdana" w:cs="Verdana"/>
          <w:sz w:val="20"/>
          <w:szCs w:val="20"/>
        </w:rPr>
        <w:t>concerned</w:t>
      </w:r>
      <w:proofErr w:type="gramStart"/>
      <w:r w:rsidR="00854763" w:rsidRPr="00F346AC">
        <w:rPr>
          <w:rFonts w:ascii="Verdana" w:hAnsi="Verdana" w:cs="Verdana"/>
          <w:sz w:val="20"/>
          <w:szCs w:val="20"/>
        </w:rPr>
        <w:t>.</w:t>
      </w:r>
      <w:r w:rsidR="00325522" w:rsidRPr="00F346AC">
        <w:rPr>
          <w:rFonts w:ascii="Verdana" w:hAnsi="Verdana" w:cs="Verdana"/>
          <w:sz w:val="20"/>
          <w:szCs w:val="20"/>
        </w:rPr>
        <w:t>“</w:t>
      </w:r>
      <w:proofErr w:type="gramEnd"/>
      <w:r w:rsidR="00325522" w:rsidRPr="00F346AC">
        <w:rPr>
          <w:rFonts w:ascii="Verdana" w:hAnsi="Verdana" w:cs="Verdana"/>
          <w:sz w:val="20"/>
          <w:szCs w:val="20"/>
        </w:rPr>
        <w:t xml:space="preserve"> </w:t>
      </w:r>
      <w:r w:rsidR="00854763" w:rsidRPr="00F346AC">
        <w:rPr>
          <w:rFonts w:ascii="Verdana" w:hAnsi="Verdana" w:cs="Verdana"/>
          <w:sz w:val="20"/>
          <w:szCs w:val="20"/>
        </w:rPr>
        <w:t>However, i</w:t>
      </w:r>
      <w:r w:rsidR="00325522" w:rsidRPr="00F346AC">
        <w:rPr>
          <w:rFonts w:ascii="Verdana" w:hAnsi="Verdana" w:cs="Verdana"/>
          <w:sz w:val="20"/>
          <w:szCs w:val="20"/>
        </w:rPr>
        <w:t xml:space="preserve">n the case of the European sovereign debt crisis </w:t>
      </w:r>
      <w:r w:rsidR="001F4DC4" w:rsidRPr="00F346AC">
        <w:rPr>
          <w:rFonts w:ascii="Verdana" w:hAnsi="Verdana" w:cs="Verdana"/>
          <w:sz w:val="20"/>
          <w:szCs w:val="20"/>
        </w:rPr>
        <w:t>it is difficult to</w:t>
      </w:r>
      <w:r w:rsidR="00325522" w:rsidRPr="00F346AC">
        <w:rPr>
          <w:rFonts w:ascii="Verdana" w:hAnsi="Verdana" w:cs="Verdana"/>
          <w:sz w:val="20"/>
          <w:szCs w:val="20"/>
        </w:rPr>
        <w:t xml:space="preserve"> argue that the severe difficulties faced by some member states where akin to being hit by hurricanes or earthquakes, </w:t>
      </w:r>
      <w:r w:rsidR="001F4DC4" w:rsidRPr="00F346AC">
        <w:rPr>
          <w:rFonts w:ascii="Verdana" w:hAnsi="Verdana" w:cs="Verdana"/>
          <w:sz w:val="20"/>
          <w:szCs w:val="20"/>
        </w:rPr>
        <w:t>rather than being</w:t>
      </w:r>
      <w:r w:rsidR="00325522" w:rsidRPr="00F346AC">
        <w:rPr>
          <w:rFonts w:ascii="Verdana" w:hAnsi="Verdana" w:cs="Verdana"/>
          <w:sz w:val="20"/>
          <w:szCs w:val="20"/>
        </w:rPr>
        <w:t xml:space="preserve"> mostly of their own making.</w:t>
      </w:r>
      <w:r w:rsidR="00854763" w:rsidRPr="00F346AC">
        <w:rPr>
          <w:rFonts w:ascii="Verdana" w:hAnsi="Verdana" w:cs="Verdana"/>
          <w:sz w:val="20"/>
          <w:szCs w:val="20"/>
        </w:rPr>
        <w:t xml:space="preserve"> </w:t>
      </w:r>
      <w:r w:rsidR="008A5709" w:rsidRPr="00F346AC">
        <w:rPr>
          <w:rFonts w:ascii="Verdana" w:hAnsi="Verdana" w:cs="Verdana"/>
          <w:sz w:val="20"/>
          <w:szCs w:val="20"/>
        </w:rPr>
        <w:t xml:space="preserve">Presumably, little issue was made of the question of legality because </w:t>
      </w:r>
      <w:r w:rsidR="008077B9" w:rsidRPr="00F346AC">
        <w:rPr>
          <w:rFonts w:ascii="Verdana" w:hAnsi="Verdana" w:cs="Verdana"/>
          <w:sz w:val="20"/>
          <w:szCs w:val="20"/>
        </w:rPr>
        <w:t>of</w:t>
      </w:r>
      <w:r w:rsidR="008A5709" w:rsidRPr="00F346AC">
        <w:rPr>
          <w:rFonts w:ascii="Verdana" w:hAnsi="Verdana" w:cs="Verdana"/>
          <w:sz w:val="20"/>
          <w:szCs w:val="20"/>
        </w:rPr>
        <w:t xml:space="preserve"> the small size of this facil</w:t>
      </w:r>
      <w:r w:rsidR="001F4DC4" w:rsidRPr="00F346AC">
        <w:rPr>
          <w:rFonts w:ascii="Verdana" w:hAnsi="Verdana" w:cs="Verdana"/>
          <w:sz w:val="20"/>
          <w:szCs w:val="20"/>
        </w:rPr>
        <w:t>i</w:t>
      </w:r>
      <w:r w:rsidR="008A5709" w:rsidRPr="00F346AC">
        <w:rPr>
          <w:rFonts w:ascii="Verdana" w:hAnsi="Verdana" w:cs="Verdana"/>
          <w:sz w:val="20"/>
          <w:szCs w:val="20"/>
        </w:rPr>
        <w:t xml:space="preserve">ty. </w:t>
      </w:r>
    </w:p>
    <w:p w:rsidR="008077B9" w:rsidRPr="00F346AC" w:rsidRDefault="00854763" w:rsidP="00EE71ED">
      <w:pPr>
        <w:autoSpaceDE w:val="0"/>
        <w:autoSpaceDN w:val="0"/>
        <w:adjustRightInd w:val="0"/>
        <w:spacing w:after="0"/>
        <w:jc w:val="both"/>
        <w:rPr>
          <w:rFonts w:ascii="Verdana" w:hAnsi="Verdana" w:cs="Verdana"/>
          <w:sz w:val="20"/>
          <w:szCs w:val="20"/>
        </w:rPr>
      </w:pPr>
      <w:r w:rsidRPr="00F346AC">
        <w:rPr>
          <w:rFonts w:ascii="Verdana" w:hAnsi="Verdana" w:cs="Verdana"/>
          <w:sz w:val="20"/>
          <w:szCs w:val="20"/>
        </w:rPr>
        <w:t>The EFSF</w:t>
      </w:r>
      <w:r w:rsidR="008A5709" w:rsidRPr="00F346AC">
        <w:rPr>
          <w:rFonts w:ascii="Verdana" w:hAnsi="Verdana" w:cs="Verdana"/>
          <w:sz w:val="20"/>
          <w:szCs w:val="20"/>
        </w:rPr>
        <w:t xml:space="preserve"> is an attempt to provide a much larger facility, made </w:t>
      </w:r>
      <w:r w:rsidR="00C70687" w:rsidRPr="00F346AC">
        <w:rPr>
          <w:rFonts w:ascii="Verdana" w:hAnsi="Verdana" w:cs="Verdana"/>
          <w:sz w:val="20"/>
          <w:szCs w:val="20"/>
        </w:rPr>
        <w:t xml:space="preserve">more </w:t>
      </w:r>
      <w:r w:rsidR="008A5709" w:rsidRPr="00F346AC">
        <w:rPr>
          <w:rFonts w:ascii="Verdana" w:hAnsi="Verdana" w:cs="Verdana"/>
          <w:sz w:val="20"/>
          <w:szCs w:val="20"/>
        </w:rPr>
        <w:t xml:space="preserve">politically palatable by </w:t>
      </w:r>
      <w:r w:rsidR="00A03B02">
        <w:rPr>
          <w:rFonts w:ascii="Verdana" w:hAnsi="Verdana" w:cs="Verdana"/>
          <w:sz w:val="20"/>
          <w:szCs w:val="20"/>
        </w:rPr>
        <w:t>changing the nature of its guarantee</w:t>
      </w:r>
      <w:r w:rsidR="008A5709" w:rsidRPr="00F346AC">
        <w:rPr>
          <w:rFonts w:ascii="Verdana" w:hAnsi="Verdana" w:cs="Verdana"/>
          <w:sz w:val="20"/>
          <w:szCs w:val="20"/>
        </w:rPr>
        <w:t>. It</w:t>
      </w:r>
      <w:r w:rsidRPr="00F346AC">
        <w:rPr>
          <w:rFonts w:ascii="Verdana" w:hAnsi="Verdana" w:cs="Verdana"/>
          <w:sz w:val="20"/>
          <w:szCs w:val="20"/>
        </w:rPr>
        <w:t xml:space="preserve"> </w:t>
      </w:r>
      <w:r w:rsidR="00607AD3" w:rsidRPr="00F346AC">
        <w:rPr>
          <w:rFonts w:ascii="Verdana" w:hAnsi="Verdana" w:cs="Verdana"/>
          <w:sz w:val="20"/>
          <w:szCs w:val="20"/>
        </w:rPr>
        <w:t xml:space="preserve">is to work by issuing bonds and using the proceeds to make loans. </w:t>
      </w:r>
      <w:r w:rsidR="008A5709" w:rsidRPr="00F346AC">
        <w:rPr>
          <w:rFonts w:ascii="Verdana" w:hAnsi="Verdana" w:cs="Verdana"/>
          <w:sz w:val="20"/>
          <w:szCs w:val="20"/>
        </w:rPr>
        <w:t>The bonds</w:t>
      </w:r>
      <w:r w:rsidR="006C5E1B" w:rsidRPr="00F346AC">
        <w:rPr>
          <w:rFonts w:ascii="Verdana" w:hAnsi="Verdana" w:cs="Verdana"/>
          <w:sz w:val="20"/>
          <w:szCs w:val="20"/>
        </w:rPr>
        <w:t xml:space="preserve"> are </w:t>
      </w:r>
      <w:r w:rsidR="00A03B02">
        <w:rPr>
          <w:rFonts w:ascii="Verdana" w:hAnsi="Verdana" w:cs="Verdana"/>
          <w:sz w:val="20"/>
          <w:szCs w:val="20"/>
        </w:rPr>
        <w:t>guaranteed</w:t>
      </w:r>
      <w:r w:rsidR="006C5E1B" w:rsidRPr="00F346AC">
        <w:rPr>
          <w:rFonts w:ascii="Verdana" w:hAnsi="Verdana" w:cs="Verdana"/>
          <w:sz w:val="20"/>
          <w:szCs w:val="20"/>
        </w:rPr>
        <w:t xml:space="preserve"> on a pro rata basis by participating member states in a coordinated fashion. That is, instead of a joint and several guarantee, the</w:t>
      </w:r>
      <w:r w:rsidR="00A03B02">
        <w:rPr>
          <w:rFonts w:ascii="Verdana" w:hAnsi="Verdana" w:cs="Verdana"/>
          <w:sz w:val="20"/>
          <w:szCs w:val="20"/>
        </w:rPr>
        <w:t>re</w:t>
      </w:r>
      <w:r w:rsidR="006C5E1B" w:rsidRPr="00F346AC">
        <w:rPr>
          <w:rFonts w:ascii="Verdana" w:hAnsi="Verdana" w:cs="Verdana"/>
          <w:sz w:val="20"/>
          <w:szCs w:val="20"/>
        </w:rPr>
        <w:t xml:space="preserve"> are individual guarantees</w:t>
      </w:r>
      <w:r w:rsidR="00EB1061" w:rsidRPr="00F346AC">
        <w:rPr>
          <w:rFonts w:ascii="Verdana" w:hAnsi="Verdana" w:cs="Verdana"/>
          <w:sz w:val="20"/>
          <w:szCs w:val="20"/>
        </w:rPr>
        <w:t xml:space="preserve">; </w:t>
      </w:r>
      <w:r w:rsidR="00A03B02">
        <w:rPr>
          <w:rFonts w:ascii="Verdana" w:hAnsi="Verdana" w:cs="Verdana"/>
          <w:sz w:val="20"/>
          <w:szCs w:val="20"/>
        </w:rPr>
        <w:t xml:space="preserve">as with the </w:t>
      </w:r>
      <w:proofErr w:type="spellStart"/>
      <w:r w:rsidR="00A03B02">
        <w:rPr>
          <w:rFonts w:ascii="Verdana" w:hAnsi="Verdana" w:cs="Verdana"/>
          <w:sz w:val="20"/>
          <w:szCs w:val="20"/>
        </w:rPr>
        <w:t>the</w:t>
      </w:r>
      <w:proofErr w:type="spellEnd"/>
      <w:r w:rsidR="00A03B02">
        <w:rPr>
          <w:rFonts w:ascii="Verdana" w:hAnsi="Verdana" w:cs="Verdana"/>
          <w:sz w:val="20"/>
          <w:szCs w:val="20"/>
        </w:rPr>
        <w:t xml:space="preserve"> EFSM, </w:t>
      </w:r>
      <w:r w:rsidR="00EB1061" w:rsidRPr="00F346AC">
        <w:rPr>
          <w:rFonts w:ascii="Verdana" w:hAnsi="Verdana" w:cs="Verdana"/>
          <w:sz w:val="20"/>
          <w:szCs w:val="20"/>
        </w:rPr>
        <w:t>there is no collateral</w:t>
      </w:r>
      <w:r w:rsidR="006C5E1B" w:rsidRPr="00F346AC">
        <w:rPr>
          <w:rFonts w:ascii="Verdana" w:hAnsi="Verdana" w:cs="Verdana"/>
          <w:sz w:val="20"/>
          <w:szCs w:val="20"/>
        </w:rPr>
        <w:t xml:space="preserve">. </w:t>
      </w:r>
      <w:r w:rsidR="007C417F" w:rsidRPr="00F346AC">
        <w:rPr>
          <w:rFonts w:ascii="Verdana" w:hAnsi="Verdana"/>
          <w:sz w:val="20"/>
          <w:szCs w:val="20"/>
        </w:rPr>
        <w:t xml:space="preserve">Each country’s share of the total guaranteed amount </w:t>
      </w:r>
      <w:r w:rsidR="00A03B02">
        <w:rPr>
          <w:rFonts w:ascii="Verdana" w:hAnsi="Verdana"/>
          <w:sz w:val="20"/>
          <w:szCs w:val="20"/>
        </w:rPr>
        <w:t>is</w:t>
      </w:r>
      <w:r w:rsidR="007C417F" w:rsidRPr="00F346AC">
        <w:rPr>
          <w:rFonts w:ascii="Verdana" w:hAnsi="Verdana"/>
          <w:sz w:val="20"/>
          <w:szCs w:val="20"/>
        </w:rPr>
        <w:t xml:space="preserve"> equal to its share of the ECB’s capital. </w:t>
      </w:r>
      <w:r w:rsidR="008A5709" w:rsidRPr="00F346AC">
        <w:rPr>
          <w:rFonts w:ascii="Verdana" w:hAnsi="Verdana" w:cs="Verdana"/>
          <w:sz w:val="20"/>
          <w:szCs w:val="20"/>
        </w:rPr>
        <w:t xml:space="preserve">The total amount of the guarantees will cover 120 </w:t>
      </w:r>
      <w:proofErr w:type="spellStart"/>
      <w:r w:rsidR="008A5709" w:rsidRPr="00F346AC">
        <w:rPr>
          <w:rFonts w:ascii="Verdana" w:hAnsi="Verdana" w:cs="Verdana"/>
          <w:sz w:val="20"/>
          <w:szCs w:val="20"/>
        </w:rPr>
        <w:t>percent</w:t>
      </w:r>
      <w:proofErr w:type="spellEnd"/>
      <w:r w:rsidR="008A5709" w:rsidRPr="00F346AC">
        <w:rPr>
          <w:rFonts w:ascii="Verdana" w:hAnsi="Verdana" w:cs="Verdana"/>
          <w:sz w:val="20"/>
          <w:szCs w:val="20"/>
        </w:rPr>
        <w:t xml:space="preserve"> of the debt issued and there is to be an additional cash reserve accumulated by fees paid by member states that access the facility. European Union politicians hope that it will be given an AAA rating, allowing troubled </w:t>
      </w:r>
      <w:r w:rsidR="008077B9" w:rsidRPr="00F346AC">
        <w:rPr>
          <w:rFonts w:ascii="Verdana" w:hAnsi="Verdana" w:cs="Verdana"/>
          <w:sz w:val="20"/>
          <w:szCs w:val="20"/>
        </w:rPr>
        <w:t>e</w:t>
      </w:r>
      <w:r w:rsidR="008A5709" w:rsidRPr="00F346AC">
        <w:rPr>
          <w:rFonts w:ascii="Verdana" w:hAnsi="Verdana" w:cs="Verdana"/>
          <w:sz w:val="20"/>
          <w:szCs w:val="20"/>
        </w:rPr>
        <w:t xml:space="preserve">uro area member states to borrow at highly favourable rates. </w:t>
      </w:r>
    </w:p>
    <w:p w:rsidR="008077B9" w:rsidRPr="00F346AC" w:rsidRDefault="008077B9" w:rsidP="00EE71ED">
      <w:pPr>
        <w:autoSpaceDE w:val="0"/>
        <w:autoSpaceDN w:val="0"/>
        <w:adjustRightInd w:val="0"/>
        <w:spacing w:after="0"/>
        <w:jc w:val="both"/>
        <w:rPr>
          <w:rFonts w:ascii="Verdana" w:hAnsi="Verdana" w:cs="Verdana"/>
          <w:sz w:val="20"/>
          <w:szCs w:val="20"/>
        </w:rPr>
      </w:pPr>
    </w:p>
    <w:p w:rsidR="003C1891" w:rsidRPr="00F346AC" w:rsidRDefault="008077B9" w:rsidP="00EE71ED">
      <w:pPr>
        <w:autoSpaceDE w:val="0"/>
        <w:autoSpaceDN w:val="0"/>
        <w:adjustRightInd w:val="0"/>
        <w:spacing w:after="0"/>
        <w:jc w:val="both"/>
        <w:rPr>
          <w:rFonts w:ascii="Verdana" w:hAnsi="Verdana" w:cs="Verdana"/>
          <w:sz w:val="20"/>
          <w:szCs w:val="20"/>
        </w:rPr>
      </w:pPr>
      <w:r w:rsidRPr="00F346AC">
        <w:rPr>
          <w:rFonts w:ascii="Verdana" w:hAnsi="Verdana" w:cs="Verdana"/>
          <w:sz w:val="20"/>
          <w:szCs w:val="20"/>
        </w:rPr>
        <w:t>Unfortunately</w:t>
      </w:r>
      <w:r w:rsidR="005778C7" w:rsidRPr="00F346AC">
        <w:rPr>
          <w:rFonts w:ascii="Verdana" w:hAnsi="Verdana" w:cs="Verdana"/>
          <w:sz w:val="20"/>
          <w:szCs w:val="20"/>
        </w:rPr>
        <w:t xml:space="preserve">, even with the 20 </w:t>
      </w:r>
      <w:proofErr w:type="spellStart"/>
      <w:r w:rsidR="005778C7" w:rsidRPr="00F346AC">
        <w:rPr>
          <w:rFonts w:ascii="Verdana" w:hAnsi="Verdana" w:cs="Verdana"/>
          <w:sz w:val="20"/>
          <w:szCs w:val="20"/>
        </w:rPr>
        <w:t>percent</w:t>
      </w:r>
      <w:proofErr w:type="spellEnd"/>
      <w:r w:rsidR="005778C7" w:rsidRPr="00F346AC">
        <w:rPr>
          <w:rFonts w:ascii="Verdana" w:hAnsi="Verdana" w:cs="Verdana"/>
          <w:sz w:val="20"/>
          <w:szCs w:val="20"/>
        </w:rPr>
        <w:t xml:space="preserve"> extra </w:t>
      </w:r>
      <w:proofErr w:type="gramStart"/>
      <w:r w:rsidR="00EB1061" w:rsidRPr="00F346AC">
        <w:rPr>
          <w:rFonts w:ascii="Verdana" w:hAnsi="Verdana" w:cs="Verdana"/>
          <w:sz w:val="20"/>
          <w:szCs w:val="20"/>
        </w:rPr>
        <w:t>guarantee</w:t>
      </w:r>
      <w:proofErr w:type="gramEnd"/>
      <w:r w:rsidR="005778C7" w:rsidRPr="00F346AC">
        <w:rPr>
          <w:rFonts w:ascii="Verdana" w:hAnsi="Verdana" w:cs="Verdana"/>
          <w:sz w:val="20"/>
          <w:szCs w:val="20"/>
        </w:rPr>
        <w:t xml:space="preserve">, there are obstacles to attaining and maintaining the hoped-for AAA rating. First, </w:t>
      </w:r>
      <w:r w:rsidR="00F71167" w:rsidRPr="00F346AC">
        <w:rPr>
          <w:rFonts w:ascii="Verdana" w:hAnsi="Verdana" w:cs="Verdana"/>
          <w:sz w:val="20"/>
          <w:szCs w:val="20"/>
        </w:rPr>
        <w:t>as shown in Table 1 below, only six</w:t>
      </w:r>
      <w:r w:rsidR="005778C7" w:rsidRPr="00F346AC">
        <w:rPr>
          <w:rFonts w:ascii="Verdana" w:hAnsi="Verdana" w:cs="Verdana"/>
          <w:sz w:val="20"/>
          <w:szCs w:val="20"/>
        </w:rPr>
        <w:t xml:space="preserve"> of the individual </w:t>
      </w:r>
      <w:r w:rsidR="006C5E1B" w:rsidRPr="00F346AC">
        <w:rPr>
          <w:rFonts w:ascii="Verdana" w:hAnsi="Verdana" w:cs="Verdana"/>
          <w:sz w:val="20"/>
          <w:szCs w:val="20"/>
        </w:rPr>
        <w:t xml:space="preserve">member states </w:t>
      </w:r>
      <w:r w:rsidR="005778C7" w:rsidRPr="00F346AC">
        <w:rPr>
          <w:rFonts w:ascii="Verdana" w:hAnsi="Verdana" w:cs="Verdana"/>
          <w:sz w:val="20"/>
          <w:szCs w:val="20"/>
        </w:rPr>
        <w:t xml:space="preserve">providing the </w:t>
      </w:r>
      <w:r w:rsidR="00211F3D">
        <w:rPr>
          <w:rFonts w:ascii="Verdana" w:hAnsi="Verdana" w:cs="Verdana"/>
          <w:sz w:val="20"/>
          <w:szCs w:val="20"/>
        </w:rPr>
        <w:t>guarantees</w:t>
      </w:r>
      <w:r w:rsidR="005778C7" w:rsidRPr="00F346AC">
        <w:rPr>
          <w:rFonts w:ascii="Verdana" w:hAnsi="Verdana" w:cs="Verdana"/>
          <w:sz w:val="20"/>
          <w:szCs w:val="20"/>
        </w:rPr>
        <w:t xml:space="preserve"> </w:t>
      </w:r>
      <w:r w:rsidR="006C5E1B" w:rsidRPr="00F346AC">
        <w:rPr>
          <w:rFonts w:ascii="Verdana" w:hAnsi="Verdana" w:cs="Verdana"/>
          <w:sz w:val="20"/>
          <w:szCs w:val="20"/>
        </w:rPr>
        <w:t>have</w:t>
      </w:r>
      <w:r w:rsidR="00F71167" w:rsidRPr="00F346AC">
        <w:rPr>
          <w:rFonts w:ascii="Verdana" w:hAnsi="Verdana" w:cs="Verdana"/>
          <w:sz w:val="20"/>
          <w:szCs w:val="20"/>
        </w:rPr>
        <w:t xml:space="preserve"> </w:t>
      </w:r>
      <w:r w:rsidR="001B2F5A">
        <w:rPr>
          <w:rFonts w:ascii="Verdana" w:hAnsi="Verdana" w:cs="Verdana"/>
          <w:sz w:val="20"/>
          <w:szCs w:val="20"/>
        </w:rPr>
        <w:t xml:space="preserve">(Fitch) </w:t>
      </w:r>
      <w:r w:rsidR="00F71167" w:rsidRPr="00F346AC">
        <w:rPr>
          <w:rFonts w:ascii="Verdana" w:hAnsi="Verdana" w:cs="Verdana"/>
          <w:sz w:val="20"/>
          <w:szCs w:val="20"/>
        </w:rPr>
        <w:t>AAA ratings themselves and many have</w:t>
      </w:r>
      <w:r w:rsidR="006C5E1B" w:rsidRPr="00F346AC">
        <w:rPr>
          <w:rFonts w:ascii="Verdana" w:hAnsi="Verdana" w:cs="Verdana"/>
          <w:sz w:val="20"/>
          <w:szCs w:val="20"/>
        </w:rPr>
        <w:t xml:space="preserve"> dismal credit ratings</w:t>
      </w:r>
      <w:r w:rsidR="005778C7" w:rsidRPr="00F346AC">
        <w:rPr>
          <w:rFonts w:ascii="Verdana" w:hAnsi="Verdana" w:cs="Verdana"/>
          <w:sz w:val="20"/>
          <w:szCs w:val="20"/>
        </w:rPr>
        <w:t xml:space="preserve">. </w:t>
      </w:r>
      <w:r w:rsidR="00211F3D">
        <w:rPr>
          <w:rFonts w:ascii="Verdana" w:hAnsi="Verdana" w:cs="Verdana"/>
          <w:sz w:val="20"/>
          <w:szCs w:val="20"/>
        </w:rPr>
        <w:t>Second</w:t>
      </w:r>
      <w:r w:rsidR="005778C7" w:rsidRPr="00F346AC">
        <w:rPr>
          <w:rFonts w:ascii="Verdana" w:hAnsi="Verdana" w:cs="Verdana"/>
          <w:sz w:val="20"/>
          <w:szCs w:val="20"/>
        </w:rPr>
        <w:t xml:space="preserve">, the fortunes of the highly indebted Euro area countries are correlated. Thus, the </w:t>
      </w:r>
      <w:r w:rsidR="00D3243B" w:rsidRPr="00F346AC">
        <w:rPr>
          <w:rFonts w:ascii="Verdana" w:hAnsi="Verdana" w:cs="Verdana"/>
          <w:sz w:val="20"/>
          <w:szCs w:val="20"/>
        </w:rPr>
        <w:t>quality of the collateral is correlated with the fortune</w:t>
      </w:r>
      <w:r w:rsidR="005778C7" w:rsidRPr="00F346AC">
        <w:rPr>
          <w:rFonts w:ascii="Verdana" w:hAnsi="Verdana" w:cs="Verdana"/>
          <w:sz w:val="20"/>
          <w:szCs w:val="20"/>
        </w:rPr>
        <w:t>s</w:t>
      </w:r>
      <w:r w:rsidR="00D3243B" w:rsidRPr="00F346AC">
        <w:rPr>
          <w:rFonts w:ascii="Verdana" w:hAnsi="Verdana" w:cs="Verdana"/>
          <w:sz w:val="20"/>
          <w:szCs w:val="20"/>
        </w:rPr>
        <w:t xml:space="preserve"> of a potential borrower.</w:t>
      </w:r>
      <w:r w:rsidR="00266A60" w:rsidRPr="00F346AC">
        <w:rPr>
          <w:rFonts w:ascii="Verdana" w:hAnsi="Verdana" w:cs="Verdana"/>
          <w:sz w:val="20"/>
          <w:szCs w:val="20"/>
        </w:rPr>
        <w:t xml:space="preserve"> </w:t>
      </w:r>
      <w:r w:rsidR="00211F3D">
        <w:rPr>
          <w:rFonts w:ascii="Verdana" w:hAnsi="Verdana" w:cs="Verdana"/>
          <w:sz w:val="20"/>
          <w:szCs w:val="20"/>
        </w:rPr>
        <w:t>Third</w:t>
      </w:r>
      <w:r w:rsidR="00266A60" w:rsidRPr="00F346AC">
        <w:rPr>
          <w:rFonts w:ascii="Verdana" w:hAnsi="Verdana" w:cs="Verdana"/>
          <w:sz w:val="20"/>
          <w:szCs w:val="20"/>
        </w:rPr>
        <w:t xml:space="preserve">, debt is issued by the ESFS only after a loan is requested; in this scenario the credit worthiness of Euro area countries would </w:t>
      </w:r>
      <w:r w:rsidR="00E239A7" w:rsidRPr="00F346AC">
        <w:rPr>
          <w:rFonts w:ascii="Verdana" w:hAnsi="Verdana" w:cs="Verdana"/>
          <w:sz w:val="20"/>
          <w:szCs w:val="20"/>
        </w:rPr>
        <w:t xml:space="preserve">likely </w:t>
      </w:r>
      <w:r w:rsidR="00266A60" w:rsidRPr="00F346AC">
        <w:rPr>
          <w:rFonts w:ascii="Verdana" w:hAnsi="Verdana" w:cs="Verdana"/>
          <w:sz w:val="20"/>
          <w:szCs w:val="20"/>
        </w:rPr>
        <w:t xml:space="preserve">be </w:t>
      </w:r>
      <w:r w:rsidR="00E239A7" w:rsidRPr="00F346AC">
        <w:rPr>
          <w:rFonts w:ascii="Verdana" w:hAnsi="Verdana" w:cs="Verdana"/>
          <w:sz w:val="20"/>
          <w:szCs w:val="20"/>
        </w:rPr>
        <w:t xml:space="preserve">even </w:t>
      </w:r>
      <w:r w:rsidR="00266A60" w:rsidRPr="00F346AC">
        <w:rPr>
          <w:rFonts w:ascii="Verdana" w:hAnsi="Verdana" w:cs="Verdana"/>
          <w:sz w:val="20"/>
          <w:szCs w:val="20"/>
        </w:rPr>
        <w:t>lower than it is currently.</w:t>
      </w:r>
    </w:p>
    <w:p w:rsidR="00F71167" w:rsidRPr="00F346AC" w:rsidRDefault="00F71167" w:rsidP="009262FA">
      <w:pPr>
        <w:autoSpaceDE w:val="0"/>
        <w:autoSpaceDN w:val="0"/>
        <w:adjustRightInd w:val="0"/>
        <w:spacing w:after="0" w:line="240" w:lineRule="auto"/>
        <w:ind w:firstLine="720"/>
        <w:jc w:val="both"/>
        <w:rPr>
          <w:rFonts w:ascii="Verdana" w:hAnsi="Verdana" w:cs="Verdana"/>
          <w:sz w:val="20"/>
          <w:szCs w:val="20"/>
        </w:rPr>
      </w:pPr>
    </w:p>
    <w:p w:rsidR="000F581A" w:rsidRDefault="000F581A">
      <w:pPr>
        <w:rPr>
          <w:rFonts w:ascii="Verdana" w:hAnsi="Verdana" w:cs="Verdana"/>
          <w:b/>
          <w:sz w:val="20"/>
          <w:szCs w:val="20"/>
        </w:rPr>
      </w:pPr>
      <w:r>
        <w:rPr>
          <w:rFonts w:ascii="Verdana" w:hAnsi="Verdana" w:cs="Verdana"/>
          <w:b/>
          <w:sz w:val="20"/>
          <w:szCs w:val="20"/>
        </w:rPr>
        <w:br w:type="page"/>
      </w:r>
    </w:p>
    <w:p w:rsidR="00F71167" w:rsidRPr="00F346AC" w:rsidRDefault="00F71167" w:rsidP="00F71167">
      <w:pPr>
        <w:autoSpaceDE w:val="0"/>
        <w:autoSpaceDN w:val="0"/>
        <w:adjustRightInd w:val="0"/>
        <w:spacing w:after="0" w:line="240" w:lineRule="auto"/>
        <w:jc w:val="center"/>
        <w:rPr>
          <w:rFonts w:ascii="Verdana" w:hAnsi="Verdana" w:cs="Verdana"/>
          <w:b/>
          <w:sz w:val="20"/>
          <w:szCs w:val="20"/>
          <w:vertAlign w:val="superscript"/>
        </w:rPr>
      </w:pPr>
      <w:proofErr w:type="gramStart"/>
      <w:r w:rsidRPr="00F346AC">
        <w:rPr>
          <w:rFonts w:ascii="Verdana" w:hAnsi="Verdana" w:cs="Verdana"/>
          <w:b/>
          <w:sz w:val="20"/>
          <w:szCs w:val="20"/>
        </w:rPr>
        <w:lastRenderedPageBreak/>
        <w:t>Table 1.</w:t>
      </w:r>
      <w:proofErr w:type="gramEnd"/>
      <w:r w:rsidRPr="00F346AC">
        <w:rPr>
          <w:rFonts w:ascii="Verdana" w:hAnsi="Verdana" w:cs="Verdana"/>
          <w:b/>
          <w:sz w:val="20"/>
          <w:szCs w:val="20"/>
        </w:rPr>
        <w:t xml:space="preserve"> Euro area credit ratings</w:t>
      </w:r>
      <w:r w:rsidRPr="00F346AC">
        <w:rPr>
          <w:rFonts w:ascii="Verdana" w:hAnsi="Verdana" w:cs="Verdana"/>
          <w:b/>
          <w:sz w:val="20"/>
          <w:szCs w:val="20"/>
          <w:vertAlign w:val="superscript"/>
        </w:rPr>
        <w:t>*</w:t>
      </w:r>
    </w:p>
    <w:p w:rsidR="00F71167" w:rsidRPr="00F346AC" w:rsidRDefault="00F71167" w:rsidP="006C5E1B">
      <w:pPr>
        <w:autoSpaceDE w:val="0"/>
        <w:autoSpaceDN w:val="0"/>
        <w:adjustRightInd w:val="0"/>
        <w:spacing w:after="0" w:line="240" w:lineRule="auto"/>
        <w:jc w:val="both"/>
        <w:rPr>
          <w:rFonts w:ascii="Verdana" w:hAnsi="Verdana" w:cs="Verdana"/>
          <w:sz w:val="20"/>
          <w:szCs w:val="20"/>
        </w:rPr>
      </w:pPr>
    </w:p>
    <w:tbl>
      <w:tblPr>
        <w:tblStyle w:val="TableGrid"/>
        <w:tblW w:w="5670" w:type="dxa"/>
        <w:jc w:val="center"/>
        <w:tblLook w:val="04A0" w:firstRow="1" w:lastRow="0" w:firstColumn="1" w:lastColumn="0" w:noHBand="0" w:noVBand="1"/>
      </w:tblPr>
      <w:tblGrid>
        <w:gridCol w:w="1457"/>
        <w:gridCol w:w="1257"/>
        <w:gridCol w:w="1699"/>
        <w:gridCol w:w="1257"/>
      </w:tblGrid>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Country</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Rating</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Country</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Rating</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Austria</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Italy</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Belgium</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Luxembourg</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Cyprus</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Malta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Finland</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Netherlands</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France</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Portugal</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Germany</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Slovakia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Greece</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BBB-</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Slovenia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r>
      <w:tr w:rsidR="00F71167" w:rsidRPr="00F346AC" w:rsidTr="00F71167">
        <w:trPr>
          <w:jc w:val="center"/>
        </w:trPr>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Ireland</w:t>
            </w:r>
          </w:p>
        </w:tc>
        <w:tc>
          <w:tcPr>
            <w:tcW w:w="2310"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Spain</w:t>
            </w:r>
          </w:p>
        </w:tc>
        <w:tc>
          <w:tcPr>
            <w:tcW w:w="2311" w:type="dxa"/>
          </w:tcPr>
          <w:p w:rsidR="00F71167" w:rsidRPr="00F346AC" w:rsidRDefault="00F71167" w:rsidP="006C5E1B">
            <w:pPr>
              <w:autoSpaceDE w:val="0"/>
              <w:autoSpaceDN w:val="0"/>
              <w:adjustRightInd w:val="0"/>
              <w:jc w:val="both"/>
              <w:rPr>
                <w:rFonts w:ascii="Verdana" w:hAnsi="Verdana" w:cs="Verdana"/>
                <w:sz w:val="20"/>
                <w:szCs w:val="20"/>
              </w:rPr>
            </w:pPr>
            <w:r w:rsidRPr="00F346AC">
              <w:rPr>
                <w:rFonts w:ascii="Verdana" w:hAnsi="Verdana" w:cs="Verdana"/>
                <w:sz w:val="20"/>
                <w:szCs w:val="20"/>
              </w:rPr>
              <w:t>AA+</w:t>
            </w:r>
          </w:p>
        </w:tc>
      </w:tr>
    </w:tbl>
    <w:p w:rsidR="00F71167" w:rsidRPr="00F346AC" w:rsidRDefault="00F71167" w:rsidP="006C5E1B">
      <w:pPr>
        <w:autoSpaceDE w:val="0"/>
        <w:autoSpaceDN w:val="0"/>
        <w:adjustRightInd w:val="0"/>
        <w:spacing w:after="0" w:line="240" w:lineRule="auto"/>
        <w:jc w:val="both"/>
        <w:rPr>
          <w:rFonts w:ascii="Verdana" w:hAnsi="Verdana"/>
          <w:sz w:val="20"/>
          <w:szCs w:val="20"/>
          <w:vertAlign w:val="superscript"/>
        </w:rPr>
      </w:pPr>
    </w:p>
    <w:p w:rsidR="00F71167" w:rsidRPr="000F581A" w:rsidRDefault="00F71167" w:rsidP="00F71167">
      <w:pPr>
        <w:autoSpaceDE w:val="0"/>
        <w:autoSpaceDN w:val="0"/>
        <w:adjustRightInd w:val="0"/>
        <w:spacing w:after="0" w:line="240" w:lineRule="auto"/>
        <w:jc w:val="center"/>
        <w:rPr>
          <w:rFonts w:ascii="Verdana" w:hAnsi="Verdana" w:cs="Verdana"/>
          <w:sz w:val="18"/>
          <w:szCs w:val="18"/>
        </w:rPr>
      </w:pPr>
      <w:r w:rsidRPr="000F581A">
        <w:rPr>
          <w:rFonts w:ascii="Verdana" w:hAnsi="Verdana"/>
          <w:sz w:val="18"/>
          <w:szCs w:val="18"/>
          <w:vertAlign w:val="superscript"/>
        </w:rPr>
        <w:t>*</w:t>
      </w:r>
      <w:r w:rsidRPr="000F581A">
        <w:rPr>
          <w:rFonts w:ascii="Verdana" w:hAnsi="Verdana"/>
          <w:sz w:val="18"/>
          <w:szCs w:val="18"/>
        </w:rPr>
        <w:t>Fitch, long-term foreign and local currency Issuer Default Rating</w:t>
      </w:r>
    </w:p>
    <w:p w:rsidR="00D3243B" w:rsidRPr="00F346AC" w:rsidRDefault="00D3243B" w:rsidP="006C5E1B">
      <w:pPr>
        <w:autoSpaceDE w:val="0"/>
        <w:autoSpaceDN w:val="0"/>
        <w:adjustRightInd w:val="0"/>
        <w:spacing w:after="0" w:line="240" w:lineRule="auto"/>
        <w:jc w:val="both"/>
        <w:rPr>
          <w:rFonts w:ascii="Verdana" w:hAnsi="Verdana" w:cs="Verdana"/>
          <w:sz w:val="20"/>
          <w:szCs w:val="20"/>
        </w:rPr>
      </w:pPr>
    </w:p>
    <w:p w:rsidR="001B2F5A" w:rsidRPr="00577C54" w:rsidRDefault="001B2F5A" w:rsidP="001B2F5A">
      <w:pPr>
        <w:jc w:val="both"/>
        <w:rPr>
          <w:rFonts w:ascii="Verdana" w:hAnsi="Verdana"/>
          <w:color w:val="17365D" w:themeColor="text2" w:themeShade="BF"/>
          <w:sz w:val="24"/>
          <w:szCs w:val="24"/>
        </w:rPr>
      </w:pPr>
      <w:r w:rsidRPr="00577C54">
        <w:rPr>
          <w:rFonts w:ascii="Verdana,Bold" w:hAnsi="Verdana,Bold" w:cs="Verdana,Bold"/>
          <w:b/>
          <w:bCs/>
          <w:color w:val="000080"/>
          <w:sz w:val="24"/>
          <w:szCs w:val="24"/>
        </w:rPr>
        <w:t>1</w:t>
      </w:r>
      <w:r>
        <w:rPr>
          <w:rFonts w:ascii="Verdana,Bold" w:hAnsi="Verdana,Bold" w:cs="Verdana,Bold"/>
          <w:b/>
          <w:bCs/>
          <w:color w:val="000080"/>
          <w:sz w:val="24"/>
          <w:szCs w:val="24"/>
        </w:rPr>
        <w:t xml:space="preserve">.3 How well </w:t>
      </w:r>
      <w:proofErr w:type="gramStart"/>
      <w:r>
        <w:rPr>
          <w:rFonts w:ascii="Verdana,Bold" w:hAnsi="Verdana,Bold" w:cs="Verdana,Bold"/>
          <w:b/>
          <w:bCs/>
          <w:color w:val="000080"/>
          <w:sz w:val="24"/>
          <w:szCs w:val="24"/>
        </w:rPr>
        <w:t>have</w:t>
      </w:r>
      <w:proofErr w:type="gramEnd"/>
      <w:r>
        <w:rPr>
          <w:rFonts w:ascii="Verdana,Bold" w:hAnsi="Verdana,Bold" w:cs="Verdana,Bold"/>
          <w:b/>
          <w:bCs/>
          <w:color w:val="000080"/>
          <w:sz w:val="24"/>
          <w:szCs w:val="24"/>
        </w:rPr>
        <w:t xml:space="preserve"> the New Lending Facilities Worked?</w:t>
      </w:r>
    </w:p>
    <w:p w:rsidR="00DC2544" w:rsidRDefault="00BC6AFA" w:rsidP="00251665">
      <w:pPr>
        <w:autoSpaceDE w:val="0"/>
        <w:autoSpaceDN w:val="0"/>
        <w:adjustRightInd w:val="0"/>
        <w:spacing w:after="0"/>
        <w:jc w:val="both"/>
        <w:rPr>
          <w:rFonts w:ascii="Verdana" w:hAnsi="Verdana" w:cs="Verdana"/>
          <w:sz w:val="20"/>
          <w:szCs w:val="20"/>
        </w:rPr>
      </w:pPr>
      <w:r w:rsidRPr="00F346AC">
        <w:rPr>
          <w:rFonts w:ascii="Verdana" w:hAnsi="Verdana" w:cs="Verdana"/>
          <w:sz w:val="20"/>
          <w:szCs w:val="20"/>
        </w:rPr>
        <w:t xml:space="preserve">The </w:t>
      </w:r>
      <w:r w:rsidR="001B2F5A">
        <w:rPr>
          <w:rFonts w:ascii="Verdana" w:hAnsi="Verdana" w:cs="Verdana"/>
          <w:sz w:val="20"/>
          <w:szCs w:val="20"/>
        </w:rPr>
        <w:t xml:space="preserve">new lending </w:t>
      </w:r>
      <w:r w:rsidRPr="00F346AC">
        <w:rPr>
          <w:rFonts w:ascii="Verdana" w:hAnsi="Verdana" w:cs="Verdana"/>
          <w:sz w:val="20"/>
          <w:szCs w:val="20"/>
        </w:rPr>
        <w:t>facilities</w:t>
      </w:r>
      <w:r w:rsidR="008077B9" w:rsidRPr="00F346AC">
        <w:rPr>
          <w:rFonts w:ascii="Verdana" w:hAnsi="Verdana" w:cs="Verdana"/>
          <w:sz w:val="20"/>
          <w:szCs w:val="20"/>
        </w:rPr>
        <w:t>, even in combination with dramatic action by the ECB,</w:t>
      </w:r>
      <w:r w:rsidRPr="00F346AC">
        <w:rPr>
          <w:rFonts w:ascii="Verdana" w:hAnsi="Verdana" w:cs="Verdana"/>
          <w:sz w:val="20"/>
          <w:szCs w:val="20"/>
        </w:rPr>
        <w:t xml:space="preserve"> have failed to be the needed panacea to Europe’s fiscal crisis. </w:t>
      </w:r>
      <w:r w:rsidR="004E12A6" w:rsidRPr="00F346AC">
        <w:rPr>
          <w:rFonts w:ascii="Verdana" w:hAnsi="Verdana" w:cs="Verdana"/>
          <w:sz w:val="20"/>
          <w:szCs w:val="20"/>
        </w:rPr>
        <w:t xml:space="preserve">A measure of the markets’ faith in the efficacy of the </w:t>
      </w:r>
      <w:r w:rsidR="008077B9" w:rsidRPr="00F346AC">
        <w:rPr>
          <w:rFonts w:ascii="Verdana" w:hAnsi="Verdana" w:cs="Verdana"/>
          <w:sz w:val="20"/>
          <w:szCs w:val="20"/>
        </w:rPr>
        <w:t>euro area policy response</w:t>
      </w:r>
      <w:r w:rsidR="004E12A6" w:rsidRPr="00F346AC">
        <w:rPr>
          <w:rFonts w:ascii="Verdana" w:hAnsi="Verdana" w:cs="Verdana"/>
          <w:sz w:val="20"/>
          <w:szCs w:val="20"/>
        </w:rPr>
        <w:t xml:space="preserve"> is provided by the differential between the troubled </w:t>
      </w:r>
      <w:r w:rsidR="008077B9" w:rsidRPr="00F346AC">
        <w:rPr>
          <w:rFonts w:ascii="Verdana" w:hAnsi="Verdana" w:cs="Verdana"/>
          <w:sz w:val="20"/>
          <w:szCs w:val="20"/>
        </w:rPr>
        <w:t>e</w:t>
      </w:r>
      <w:r w:rsidR="004E12A6" w:rsidRPr="00F346AC">
        <w:rPr>
          <w:rFonts w:ascii="Verdana" w:hAnsi="Verdana" w:cs="Verdana"/>
          <w:sz w:val="20"/>
          <w:szCs w:val="20"/>
        </w:rPr>
        <w:t xml:space="preserve">uro area countries’ 10-year government bond interest rates and those of Germany, shown in Figure 1, below. As is seen, interest rate differentials </w:t>
      </w:r>
      <w:r w:rsidR="009A0EAB" w:rsidRPr="00F346AC">
        <w:rPr>
          <w:rFonts w:ascii="Verdana" w:hAnsi="Verdana" w:cs="Verdana"/>
          <w:sz w:val="20"/>
          <w:szCs w:val="20"/>
        </w:rPr>
        <w:t>spiked</w:t>
      </w:r>
      <w:r w:rsidR="004E12A6" w:rsidRPr="00F346AC">
        <w:rPr>
          <w:rFonts w:ascii="Verdana" w:hAnsi="Verdana" w:cs="Verdana"/>
          <w:sz w:val="20"/>
          <w:szCs w:val="20"/>
        </w:rPr>
        <w:t xml:space="preserve"> in early May. Over the weekend of 8 – 9 May European Union policy makers created a rescue plan that included the EFSM, the EFSF and the ECB’s “securities market program”: a plan to intervene in</w:t>
      </w:r>
      <w:r w:rsidR="009A0EAB" w:rsidRPr="00F346AC">
        <w:rPr>
          <w:rFonts w:ascii="Verdana" w:hAnsi="Verdana" w:cs="Verdana"/>
          <w:sz w:val="20"/>
          <w:szCs w:val="20"/>
        </w:rPr>
        <w:t xml:space="preserve"> </w:t>
      </w:r>
      <w:r w:rsidR="004E12A6" w:rsidRPr="00F346AC">
        <w:rPr>
          <w:rFonts w:ascii="Verdana" w:hAnsi="Verdana" w:cs="Verdana"/>
          <w:sz w:val="20"/>
          <w:szCs w:val="20"/>
        </w:rPr>
        <w:t>dysfunctional public and private debt markets.</w:t>
      </w:r>
      <w:r w:rsidR="009A0EAB" w:rsidRPr="00F346AC">
        <w:rPr>
          <w:rFonts w:ascii="Verdana" w:hAnsi="Verdana" w:cs="Verdana"/>
          <w:sz w:val="20"/>
          <w:szCs w:val="20"/>
        </w:rPr>
        <w:t xml:space="preserve"> In the face of a crisis, </w:t>
      </w:r>
      <w:r w:rsidR="008077B9" w:rsidRPr="00F346AC">
        <w:rPr>
          <w:rFonts w:ascii="Verdana" w:hAnsi="Verdana" w:cs="Verdana"/>
          <w:sz w:val="20"/>
          <w:szCs w:val="20"/>
        </w:rPr>
        <w:t>immediate</w:t>
      </w:r>
      <w:r w:rsidR="009A0EAB" w:rsidRPr="00F346AC">
        <w:rPr>
          <w:rFonts w:ascii="Verdana" w:hAnsi="Verdana" w:cs="Verdana"/>
          <w:sz w:val="20"/>
          <w:szCs w:val="20"/>
        </w:rPr>
        <w:t xml:space="preserve"> but imperfect government action may have a better short-term effect than delay in search of a more perfect solution and interest rate differentials fell sharply</w:t>
      </w:r>
      <w:r w:rsidR="00997ED7" w:rsidRPr="00F346AC">
        <w:rPr>
          <w:rFonts w:ascii="Verdana" w:hAnsi="Verdana" w:cs="Verdana"/>
          <w:sz w:val="20"/>
          <w:szCs w:val="20"/>
        </w:rPr>
        <w:t>: the immediate threat of sovereign default was averted</w:t>
      </w:r>
      <w:r w:rsidR="009A0EAB" w:rsidRPr="00F346AC">
        <w:rPr>
          <w:rFonts w:ascii="Verdana" w:hAnsi="Verdana" w:cs="Verdana"/>
          <w:sz w:val="20"/>
          <w:szCs w:val="20"/>
        </w:rPr>
        <w:t>.</w:t>
      </w:r>
      <w:r w:rsidR="00997ED7" w:rsidRPr="00F346AC">
        <w:rPr>
          <w:rFonts w:ascii="Verdana" w:hAnsi="Verdana" w:cs="Verdana"/>
          <w:sz w:val="20"/>
          <w:szCs w:val="20"/>
        </w:rPr>
        <w:t xml:space="preserve"> </w:t>
      </w:r>
      <w:r w:rsidR="009A0EAB" w:rsidRPr="00F346AC">
        <w:rPr>
          <w:rFonts w:ascii="Verdana" w:hAnsi="Verdana" w:cs="Verdana"/>
          <w:sz w:val="20"/>
          <w:szCs w:val="20"/>
        </w:rPr>
        <w:t xml:space="preserve"> Unfortunately, the effect was short lived: interest rate differentials have </w:t>
      </w:r>
      <w:r w:rsidR="00997ED7" w:rsidRPr="00F346AC">
        <w:rPr>
          <w:rFonts w:ascii="Verdana" w:hAnsi="Verdana" w:cs="Verdana"/>
          <w:sz w:val="20"/>
          <w:szCs w:val="20"/>
        </w:rPr>
        <w:t xml:space="preserve">been </w:t>
      </w:r>
      <w:r w:rsidR="009A0EAB" w:rsidRPr="00F346AC">
        <w:rPr>
          <w:rFonts w:ascii="Verdana" w:hAnsi="Verdana" w:cs="Verdana"/>
          <w:sz w:val="20"/>
          <w:szCs w:val="20"/>
        </w:rPr>
        <w:t>steadily drifting up since then.</w:t>
      </w:r>
      <w:r w:rsidR="00251665">
        <w:rPr>
          <w:rFonts w:ascii="Verdana" w:hAnsi="Verdana" w:cs="Verdana"/>
          <w:sz w:val="20"/>
          <w:szCs w:val="20"/>
        </w:rPr>
        <w:t xml:space="preserve"> </w:t>
      </w:r>
    </w:p>
    <w:p w:rsidR="00251665" w:rsidRPr="00F346AC" w:rsidRDefault="00251665" w:rsidP="00251665">
      <w:pPr>
        <w:autoSpaceDE w:val="0"/>
        <w:autoSpaceDN w:val="0"/>
        <w:adjustRightInd w:val="0"/>
        <w:spacing w:after="0"/>
        <w:jc w:val="both"/>
        <w:rPr>
          <w:rFonts w:ascii="Verdana" w:hAnsi="Verdana" w:cs="Verdana"/>
          <w:sz w:val="20"/>
          <w:szCs w:val="20"/>
        </w:rPr>
      </w:pPr>
    </w:p>
    <w:p w:rsidR="00491D65" w:rsidRPr="00F346AC" w:rsidRDefault="00491D65" w:rsidP="00491D65">
      <w:pPr>
        <w:autoSpaceDE w:val="0"/>
        <w:autoSpaceDN w:val="0"/>
        <w:adjustRightInd w:val="0"/>
        <w:spacing w:line="240" w:lineRule="auto"/>
        <w:jc w:val="center"/>
        <w:rPr>
          <w:rFonts w:ascii="Verdana" w:hAnsi="Verdana" w:cs="Verdana"/>
          <w:b/>
          <w:bCs/>
          <w:sz w:val="20"/>
          <w:szCs w:val="20"/>
          <w:vertAlign w:val="superscript"/>
        </w:rPr>
      </w:pPr>
      <w:proofErr w:type="gramStart"/>
      <w:r w:rsidRPr="00F346AC">
        <w:rPr>
          <w:rFonts w:ascii="Verdana" w:hAnsi="Verdana" w:cs="Verdana"/>
          <w:b/>
          <w:bCs/>
          <w:sz w:val="20"/>
          <w:szCs w:val="20"/>
        </w:rPr>
        <w:t xml:space="preserve">Figure </w:t>
      </w:r>
      <w:r w:rsidR="00385675" w:rsidRPr="00F346AC">
        <w:rPr>
          <w:rFonts w:ascii="Verdana" w:hAnsi="Verdana" w:cs="Verdana"/>
          <w:b/>
          <w:bCs/>
          <w:sz w:val="20"/>
          <w:szCs w:val="20"/>
        </w:rPr>
        <w:t>1</w:t>
      </w:r>
      <w:r w:rsidRPr="00F346AC">
        <w:rPr>
          <w:rFonts w:ascii="Verdana" w:hAnsi="Verdana" w:cs="Verdana"/>
          <w:b/>
          <w:bCs/>
          <w:sz w:val="20"/>
          <w:szCs w:val="20"/>
        </w:rPr>
        <w:t>.</w:t>
      </w:r>
      <w:proofErr w:type="gramEnd"/>
      <w:r w:rsidRPr="00F346AC">
        <w:rPr>
          <w:rFonts w:ascii="Verdana" w:hAnsi="Verdana" w:cs="Verdana"/>
          <w:b/>
          <w:bCs/>
          <w:sz w:val="20"/>
          <w:szCs w:val="20"/>
        </w:rPr>
        <w:t xml:space="preserve"> Sovereign Interest Rate Differentials</w:t>
      </w:r>
      <w:r w:rsidRPr="00F346AC">
        <w:rPr>
          <w:rFonts w:ascii="Verdana" w:hAnsi="Verdana" w:cs="Verdana"/>
          <w:b/>
          <w:bCs/>
          <w:sz w:val="20"/>
          <w:szCs w:val="20"/>
          <w:vertAlign w:val="superscript"/>
        </w:rPr>
        <w:t>*</w:t>
      </w:r>
    </w:p>
    <w:p w:rsidR="00720A3F" w:rsidRPr="00F346AC" w:rsidRDefault="00720A3F" w:rsidP="00491D65">
      <w:pPr>
        <w:autoSpaceDE w:val="0"/>
        <w:autoSpaceDN w:val="0"/>
        <w:adjustRightInd w:val="0"/>
        <w:jc w:val="both"/>
        <w:rPr>
          <w:rFonts w:ascii="Verdana" w:hAnsi="Verdana" w:cs="Verdana"/>
          <w:sz w:val="20"/>
          <w:szCs w:val="20"/>
        </w:rPr>
      </w:pPr>
      <w:r w:rsidRPr="00F346AC">
        <w:rPr>
          <w:rFonts w:ascii="Verdana" w:hAnsi="Verdana" w:cs="Verdana"/>
          <w:noProof/>
          <w:sz w:val="20"/>
          <w:szCs w:val="20"/>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1D65" w:rsidRPr="000F581A" w:rsidRDefault="00491D65" w:rsidP="00EE71ED">
      <w:pPr>
        <w:autoSpaceDE w:val="0"/>
        <w:autoSpaceDN w:val="0"/>
        <w:adjustRightInd w:val="0"/>
        <w:spacing w:line="240" w:lineRule="auto"/>
        <w:rPr>
          <w:rFonts w:ascii="Verdana" w:hAnsi="Verdana" w:cs="Verdana"/>
          <w:bCs/>
          <w:sz w:val="18"/>
          <w:szCs w:val="18"/>
        </w:rPr>
      </w:pPr>
      <w:r w:rsidRPr="000F581A">
        <w:rPr>
          <w:rFonts w:ascii="Verdana" w:hAnsi="Verdana" w:cs="Verdana"/>
          <w:sz w:val="18"/>
          <w:szCs w:val="18"/>
        </w:rPr>
        <w:t>*</w:t>
      </w:r>
      <w:r w:rsidRPr="000F581A">
        <w:rPr>
          <w:rFonts w:ascii="Verdana" w:hAnsi="Verdana" w:cs="Verdana"/>
          <w:bCs/>
          <w:sz w:val="18"/>
          <w:szCs w:val="18"/>
        </w:rPr>
        <w:t xml:space="preserve">10-year government bond spreads vs. Germany, source: </w:t>
      </w:r>
      <w:r w:rsidRPr="000F581A">
        <w:rPr>
          <w:rFonts w:ascii="Verdana" w:hAnsi="Verdana" w:cs="Verdana"/>
          <w:bCs/>
          <w:i/>
          <w:sz w:val="18"/>
          <w:szCs w:val="18"/>
        </w:rPr>
        <w:t>Financial Times</w:t>
      </w:r>
    </w:p>
    <w:p w:rsidR="007D37CB" w:rsidRDefault="007D37CB" w:rsidP="009B03F4">
      <w:pPr>
        <w:autoSpaceDE w:val="0"/>
        <w:autoSpaceDN w:val="0"/>
        <w:adjustRightInd w:val="0"/>
        <w:jc w:val="both"/>
        <w:rPr>
          <w:rFonts w:ascii="Verdana" w:hAnsi="Verdana" w:cs="Verdana"/>
          <w:b/>
          <w:sz w:val="20"/>
          <w:szCs w:val="20"/>
        </w:rPr>
      </w:pPr>
      <w:r>
        <w:rPr>
          <w:rFonts w:ascii="Verdana,Bold" w:hAnsi="Verdana,Bold" w:cs="Verdana,Bold"/>
          <w:b/>
          <w:bCs/>
          <w:color w:val="000080"/>
          <w:sz w:val="28"/>
          <w:szCs w:val="28"/>
        </w:rPr>
        <w:lastRenderedPageBreak/>
        <w:t>2. WHAT SHOULD EURO AREA POLICY MAKERS DO NEXT?</w:t>
      </w:r>
    </w:p>
    <w:p w:rsidR="009C59D0" w:rsidRDefault="00B03594" w:rsidP="009B03F4">
      <w:pPr>
        <w:autoSpaceDE w:val="0"/>
        <w:autoSpaceDN w:val="0"/>
        <w:adjustRightInd w:val="0"/>
        <w:jc w:val="both"/>
        <w:rPr>
          <w:rFonts w:ascii="Verdana" w:hAnsi="Verdana" w:cs="Verdana"/>
          <w:sz w:val="20"/>
          <w:szCs w:val="20"/>
        </w:rPr>
      </w:pPr>
      <w:r w:rsidRPr="00F346AC">
        <w:rPr>
          <w:rFonts w:ascii="Verdana" w:hAnsi="Verdana" w:cs="Verdana"/>
          <w:sz w:val="20"/>
          <w:szCs w:val="20"/>
        </w:rPr>
        <w:t>In this section I address the issue of longer run reforms. But, before</w:t>
      </w:r>
      <w:r w:rsidR="009C59D0" w:rsidRPr="00F346AC">
        <w:rPr>
          <w:rFonts w:ascii="Verdana" w:hAnsi="Verdana" w:cs="Verdana"/>
          <w:sz w:val="20"/>
          <w:szCs w:val="20"/>
        </w:rPr>
        <w:t xml:space="preserve"> thinking about what institutions Europe needs to ensure the stability of the euro and the financial stability of the euro area, it is interesting to ask how the Greek debt crisis came to happen and why </w:t>
      </w:r>
      <w:r w:rsidRPr="00F346AC">
        <w:rPr>
          <w:rFonts w:ascii="Verdana" w:hAnsi="Verdana" w:cs="Verdana"/>
          <w:sz w:val="20"/>
          <w:szCs w:val="20"/>
        </w:rPr>
        <w:t xml:space="preserve">the </w:t>
      </w:r>
      <w:r w:rsidR="009C59D0" w:rsidRPr="00F346AC">
        <w:rPr>
          <w:rFonts w:ascii="Verdana" w:hAnsi="Verdana" w:cs="Verdana"/>
          <w:sz w:val="20"/>
          <w:szCs w:val="20"/>
        </w:rPr>
        <w:t>existing arrangements did not stop it.</w:t>
      </w:r>
    </w:p>
    <w:p w:rsidR="007D37CB" w:rsidRPr="00F346AC" w:rsidRDefault="007D37CB" w:rsidP="009B03F4">
      <w:pPr>
        <w:autoSpaceDE w:val="0"/>
        <w:autoSpaceDN w:val="0"/>
        <w:adjustRightInd w:val="0"/>
        <w:jc w:val="both"/>
        <w:rPr>
          <w:rFonts w:ascii="Verdana" w:hAnsi="Verdana" w:cs="Verdana"/>
          <w:sz w:val="20"/>
          <w:szCs w:val="20"/>
        </w:rPr>
      </w:pPr>
      <w:r>
        <w:rPr>
          <w:rFonts w:ascii="Verdana,Bold" w:hAnsi="Verdana,Bold" w:cs="Verdana,Bold"/>
          <w:b/>
          <w:bCs/>
          <w:color w:val="000080"/>
          <w:sz w:val="24"/>
          <w:szCs w:val="24"/>
        </w:rPr>
        <w:t>2.1 A Brief History of the Greek Debt Crisis</w:t>
      </w:r>
    </w:p>
    <w:p w:rsidR="009C59D0" w:rsidRPr="00F346AC" w:rsidRDefault="009C59D0" w:rsidP="009C59D0">
      <w:pPr>
        <w:autoSpaceDE w:val="0"/>
        <w:autoSpaceDN w:val="0"/>
        <w:adjustRightInd w:val="0"/>
        <w:jc w:val="both"/>
        <w:rPr>
          <w:rFonts w:ascii="Verdana" w:hAnsi="Verdana" w:cs="TimesNewRomanWGL"/>
          <w:sz w:val="20"/>
          <w:szCs w:val="20"/>
        </w:rPr>
      </w:pPr>
      <w:r w:rsidRPr="00F346AC">
        <w:rPr>
          <w:rFonts w:ascii="Verdana" w:hAnsi="Verdana" w:cs="Verdana"/>
          <w:sz w:val="20"/>
          <w:szCs w:val="20"/>
        </w:rPr>
        <w:t xml:space="preserve">According to the 2000 IMF Article IV staff report, Greek </w:t>
      </w:r>
      <w:r w:rsidR="00402DC1" w:rsidRPr="00F346AC">
        <w:rPr>
          <w:rFonts w:ascii="Verdana" w:hAnsi="Verdana" w:cs="Verdana"/>
          <w:sz w:val="20"/>
          <w:szCs w:val="20"/>
        </w:rPr>
        <w:t xml:space="preserve">government </w:t>
      </w:r>
      <w:r w:rsidRPr="00F346AC">
        <w:rPr>
          <w:rFonts w:ascii="Verdana" w:hAnsi="Verdana" w:cs="Verdana"/>
          <w:sz w:val="20"/>
          <w:szCs w:val="20"/>
        </w:rPr>
        <w:t xml:space="preserve">budget deficits had fallen from 10.2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of GDP in 1995 to an estimated 1.8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of GDP in 1999, while Greek government debt had fallen from an estimated 108.7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to 104.6 over the same period. </w:t>
      </w:r>
      <w:r w:rsidR="00402DC1" w:rsidRPr="00F346AC">
        <w:rPr>
          <w:rFonts w:ascii="Verdana" w:hAnsi="Verdana" w:cs="Verdana"/>
          <w:sz w:val="20"/>
          <w:szCs w:val="20"/>
        </w:rPr>
        <w:t xml:space="preserve">While apparently satisfying </w:t>
      </w:r>
      <w:r w:rsidR="00F224AB" w:rsidRPr="00F346AC">
        <w:rPr>
          <w:rFonts w:ascii="Verdana" w:hAnsi="Verdana" w:cs="Verdana"/>
          <w:sz w:val="20"/>
          <w:szCs w:val="20"/>
        </w:rPr>
        <w:t xml:space="preserve">the Maastricht criterion </w:t>
      </w:r>
      <w:r w:rsidR="00402DC1" w:rsidRPr="00F346AC">
        <w:rPr>
          <w:rFonts w:ascii="Verdana" w:hAnsi="Verdana" w:cs="Verdana"/>
          <w:sz w:val="20"/>
          <w:szCs w:val="20"/>
        </w:rPr>
        <w:t xml:space="preserve">that the </w:t>
      </w:r>
      <w:r w:rsidR="00F224AB" w:rsidRPr="00F346AC">
        <w:rPr>
          <w:rFonts w:ascii="Verdana" w:hAnsi="Verdana" w:cs="Verdana"/>
          <w:sz w:val="20"/>
          <w:szCs w:val="20"/>
        </w:rPr>
        <w:t xml:space="preserve">budget </w:t>
      </w:r>
      <w:r w:rsidR="00402DC1" w:rsidRPr="00F346AC">
        <w:rPr>
          <w:rFonts w:ascii="Verdana" w:hAnsi="Verdana" w:cs="Verdana"/>
          <w:sz w:val="20"/>
          <w:szCs w:val="20"/>
        </w:rPr>
        <w:t xml:space="preserve">deficit must be less than three </w:t>
      </w:r>
      <w:proofErr w:type="spellStart"/>
      <w:r w:rsidR="00402DC1" w:rsidRPr="00F346AC">
        <w:rPr>
          <w:rFonts w:ascii="Verdana" w:hAnsi="Verdana" w:cs="Verdana"/>
          <w:sz w:val="20"/>
          <w:szCs w:val="20"/>
        </w:rPr>
        <w:t>percent</w:t>
      </w:r>
      <w:proofErr w:type="spellEnd"/>
      <w:r w:rsidR="00402DC1" w:rsidRPr="00F346AC">
        <w:rPr>
          <w:rFonts w:ascii="Verdana" w:hAnsi="Verdana" w:cs="Verdana"/>
          <w:sz w:val="20"/>
          <w:szCs w:val="20"/>
        </w:rPr>
        <w:t xml:space="preserve"> of GDP, Greece was clearly in violation of the criterion that debt must be less than 60 </w:t>
      </w:r>
      <w:proofErr w:type="spellStart"/>
      <w:r w:rsidR="00402DC1" w:rsidRPr="00F346AC">
        <w:rPr>
          <w:rFonts w:ascii="Verdana" w:hAnsi="Verdana" w:cs="Verdana"/>
          <w:sz w:val="20"/>
          <w:szCs w:val="20"/>
        </w:rPr>
        <w:t>percent</w:t>
      </w:r>
      <w:proofErr w:type="spellEnd"/>
      <w:r w:rsidR="00402DC1" w:rsidRPr="00F346AC">
        <w:rPr>
          <w:rFonts w:ascii="Verdana" w:hAnsi="Verdana" w:cs="Verdana"/>
          <w:sz w:val="20"/>
          <w:szCs w:val="20"/>
        </w:rPr>
        <w:t xml:space="preserve"> of GDP. Nevertheless, it was welcomed into the euro area under the allowed pretext that the ratio was “</w:t>
      </w:r>
      <w:r w:rsidRPr="00F346AC">
        <w:rPr>
          <w:rFonts w:ascii="Verdana" w:hAnsi="Verdana" w:cs="TimesNewRomanWGL"/>
          <w:sz w:val="20"/>
          <w:szCs w:val="20"/>
        </w:rPr>
        <w:t>sufficiently diminishing</w:t>
      </w:r>
      <w:r w:rsidR="00402DC1" w:rsidRPr="00F346AC">
        <w:rPr>
          <w:rFonts w:ascii="Verdana" w:hAnsi="Verdana" w:cs="TimesNewRomanWGL"/>
          <w:sz w:val="20"/>
          <w:szCs w:val="20"/>
        </w:rPr>
        <w:t xml:space="preserve"> </w:t>
      </w:r>
      <w:r w:rsidRPr="00F346AC">
        <w:rPr>
          <w:rFonts w:ascii="Verdana" w:hAnsi="Verdana" w:cs="TimesNewRomanWGL"/>
          <w:sz w:val="20"/>
          <w:szCs w:val="20"/>
        </w:rPr>
        <w:t>and approaching the reference value at a satisfactory pace</w:t>
      </w:r>
      <w:r w:rsidR="00402DC1" w:rsidRPr="00F346AC">
        <w:rPr>
          <w:rFonts w:ascii="Verdana" w:hAnsi="Verdana" w:cs="TimesNewRomanWGL"/>
          <w:sz w:val="20"/>
          <w:szCs w:val="20"/>
        </w:rPr>
        <w:t>”</w:t>
      </w:r>
      <w:r w:rsidRPr="00F346AC">
        <w:rPr>
          <w:rFonts w:ascii="Verdana" w:hAnsi="Verdana" w:cs="TimesNewRomanWGL"/>
          <w:sz w:val="20"/>
          <w:szCs w:val="20"/>
        </w:rPr>
        <w:t>.</w:t>
      </w:r>
    </w:p>
    <w:p w:rsidR="000F581A" w:rsidRDefault="00402DC1" w:rsidP="000F581A">
      <w:pPr>
        <w:autoSpaceDE w:val="0"/>
        <w:autoSpaceDN w:val="0"/>
        <w:adjustRightInd w:val="0"/>
        <w:jc w:val="both"/>
        <w:rPr>
          <w:rFonts w:ascii="Verdana" w:hAnsi="Verdana" w:cs="TimesNewRomanWGL"/>
          <w:sz w:val="20"/>
          <w:szCs w:val="20"/>
        </w:rPr>
      </w:pPr>
      <w:r w:rsidRPr="00F346AC">
        <w:rPr>
          <w:rFonts w:ascii="Verdana" w:hAnsi="Verdana" w:cs="TimesNewRomanWGL"/>
          <w:sz w:val="20"/>
          <w:szCs w:val="20"/>
        </w:rPr>
        <w:t xml:space="preserve">In 2004 it was revealed that, as seen in Table 2 below, Greece had, through some combination of ineptness and underhandedness, misrepresented its data. Greek government budget deficits had </w:t>
      </w:r>
      <w:r w:rsidRPr="007D37CB">
        <w:rPr>
          <w:rFonts w:ascii="Verdana" w:hAnsi="Verdana" w:cs="TimesNewRomanWGL"/>
          <w:i/>
          <w:sz w:val="20"/>
          <w:szCs w:val="20"/>
        </w:rPr>
        <w:t>never</w:t>
      </w:r>
      <w:r w:rsidRPr="00F346AC">
        <w:rPr>
          <w:rFonts w:ascii="Verdana" w:hAnsi="Verdana" w:cs="TimesNewRomanWGL"/>
          <w:sz w:val="20"/>
          <w:szCs w:val="20"/>
        </w:rPr>
        <w:t xml:space="preserve"> fallen below the three </w:t>
      </w:r>
      <w:proofErr w:type="spellStart"/>
      <w:r w:rsidRPr="00F346AC">
        <w:rPr>
          <w:rFonts w:ascii="Verdana" w:hAnsi="Verdana" w:cs="TimesNewRomanWGL"/>
          <w:sz w:val="20"/>
          <w:szCs w:val="20"/>
        </w:rPr>
        <w:t>percent</w:t>
      </w:r>
      <w:proofErr w:type="spellEnd"/>
      <w:r w:rsidRPr="00F346AC">
        <w:rPr>
          <w:rFonts w:ascii="Verdana" w:hAnsi="Verdana" w:cs="TimesNewRomanWGL"/>
          <w:sz w:val="20"/>
          <w:szCs w:val="20"/>
        </w:rPr>
        <w:t xml:space="preserve"> target in the years 1997 – 2003 and government debt was expected by the IMF to be 112 </w:t>
      </w:r>
      <w:proofErr w:type="spellStart"/>
      <w:r w:rsidRPr="00F346AC">
        <w:rPr>
          <w:rFonts w:ascii="Verdana" w:hAnsi="Verdana" w:cs="TimesNewRomanWGL"/>
          <w:sz w:val="20"/>
          <w:szCs w:val="20"/>
        </w:rPr>
        <w:t>percent</w:t>
      </w:r>
      <w:proofErr w:type="spellEnd"/>
      <w:r w:rsidRPr="00F346AC">
        <w:rPr>
          <w:rFonts w:ascii="Verdana" w:hAnsi="Verdana" w:cs="TimesNewRomanWGL"/>
          <w:sz w:val="20"/>
          <w:szCs w:val="20"/>
        </w:rPr>
        <w:t xml:space="preserve"> of GDP</w:t>
      </w:r>
      <w:r w:rsidR="007D37CB">
        <w:rPr>
          <w:rFonts w:ascii="Verdana" w:hAnsi="Verdana" w:cs="TimesNewRomanWGL"/>
          <w:sz w:val="20"/>
          <w:szCs w:val="20"/>
        </w:rPr>
        <w:t xml:space="preserve"> in 2004</w:t>
      </w:r>
      <w:r w:rsidR="00F224AB" w:rsidRPr="00F346AC">
        <w:rPr>
          <w:rFonts w:ascii="Verdana" w:hAnsi="Verdana" w:cs="TimesNewRomanWGL"/>
          <w:sz w:val="20"/>
          <w:szCs w:val="20"/>
        </w:rPr>
        <w:t>; it had</w:t>
      </w:r>
      <w:r w:rsidRPr="00F346AC">
        <w:rPr>
          <w:rFonts w:ascii="Verdana" w:hAnsi="Verdana" w:cs="TimesNewRomanWGL"/>
          <w:sz w:val="20"/>
          <w:szCs w:val="20"/>
        </w:rPr>
        <w:t xml:space="preserve"> </w:t>
      </w:r>
      <w:r w:rsidR="00EE71ED" w:rsidRPr="00F346AC">
        <w:rPr>
          <w:rFonts w:ascii="Verdana" w:hAnsi="Verdana" w:cs="TimesNewRomanWGL"/>
          <w:sz w:val="20"/>
          <w:szCs w:val="20"/>
        </w:rPr>
        <w:t xml:space="preserve">fallen </w:t>
      </w:r>
      <w:r w:rsidRPr="00F346AC">
        <w:rPr>
          <w:rFonts w:ascii="Verdana" w:hAnsi="Verdana" w:cs="TimesNewRomanWGL"/>
          <w:sz w:val="20"/>
          <w:szCs w:val="20"/>
        </w:rPr>
        <w:t>little over the previous few years.</w:t>
      </w:r>
      <w:r w:rsidR="00EE71ED" w:rsidRPr="00F346AC">
        <w:rPr>
          <w:rFonts w:ascii="Verdana" w:hAnsi="Verdana" w:cs="TimesNewRomanWGL"/>
          <w:sz w:val="20"/>
          <w:szCs w:val="20"/>
        </w:rPr>
        <w:t xml:space="preserve"> Not only had Greece failed to satisfy the Maastricht criteria but it was in flagrant violation of the Growth and Stability Pact.</w:t>
      </w:r>
    </w:p>
    <w:p w:rsidR="00402DC1" w:rsidRPr="000F581A" w:rsidRDefault="00402DC1" w:rsidP="000F581A">
      <w:pPr>
        <w:autoSpaceDE w:val="0"/>
        <w:autoSpaceDN w:val="0"/>
        <w:adjustRightInd w:val="0"/>
        <w:jc w:val="center"/>
        <w:rPr>
          <w:rFonts w:ascii="Verdana" w:hAnsi="Verdana" w:cs="TimesNewRomanWGL"/>
          <w:sz w:val="20"/>
          <w:szCs w:val="20"/>
        </w:rPr>
      </w:pPr>
      <w:proofErr w:type="gramStart"/>
      <w:r w:rsidRPr="00251665">
        <w:rPr>
          <w:rFonts w:ascii="Verdana" w:hAnsi="Verdana" w:cs="TimesNewRomanWGL"/>
          <w:b/>
          <w:sz w:val="20"/>
          <w:szCs w:val="20"/>
        </w:rPr>
        <w:t>Table 2.</w:t>
      </w:r>
      <w:proofErr w:type="gramEnd"/>
      <w:r w:rsidRPr="00251665">
        <w:rPr>
          <w:rFonts w:ascii="Verdana" w:hAnsi="Verdana" w:cs="TimesNewRomanWGL"/>
          <w:b/>
          <w:sz w:val="20"/>
          <w:szCs w:val="20"/>
        </w:rPr>
        <w:t xml:space="preserve"> Greek </w:t>
      </w:r>
      <w:r w:rsidR="00F224AB" w:rsidRPr="00251665">
        <w:rPr>
          <w:rFonts w:ascii="Verdana" w:hAnsi="Verdana" w:cs="TimesNewRomanWGL"/>
          <w:b/>
          <w:sz w:val="20"/>
          <w:szCs w:val="20"/>
        </w:rPr>
        <w:t>D</w:t>
      </w:r>
      <w:r w:rsidRPr="00251665">
        <w:rPr>
          <w:rFonts w:ascii="Verdana" w:hAnsi="Verdana" w:cs="TimesNewRomanWGL"/>
          <w:b/>
          <w:sz w:val="20"/>
          <w:szCs w:val="20"/>
        </w:rPr>
        <w:t>ata in 2004, before and after revision</w:t>
      </w:r>
      <w:r w:rsidR="00F224AB" w:rsidRPr="00251665">
        <w:rPr>
          <w:rFonts w:ascii="Verdana" w:hAnsi="Verdana" w:cs="TimesNewRomanWGL"/>
          <w:b/>
          <w:sz w:val="20"/>
          <w:szCs w:val="20"/>
          <w:vertAlign w:val="superscript"/>
        </w:rPr>
        <w:t>*</w:t>
      </w:r>
    </w:p>
    <w:tbl>
      <w:tblPr>
        <w:tblStyle w:val="TableGrid"/>
        <w:tblW w:w="0" w:type="auto"/>
        <w:tblLook w:val="04A0" w:firstRow="1" w:lastRow="0" w:firstColumn="1" w:lastColumn="0" w:noHBand="0" w:noVBand="1"/>
      </w:tblPr>
      <w:tblGrid>
        <w:gridCol w:w="1216"/>
        <w:gridCol w:w="1147"/>
        <w:gridCol w:w="1147"/>
        <w:gridCol w:w="1146"/>
        <w:gridCol w:w="1146"/>
        <w:gridCol w:w="1146"/>
        <w:gridCol w:w="1147"/>
        <w:gridCol w:w="1147"/>
      </w:tblGrid>
      <w:tr w:rsidR="00F224AB" w:rsidRPr="00251665" w:rsidTr="00F224AB">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1997</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1998</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1999</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2000</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2001</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2002</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2003</w:t>
            </w:r>
          </w:p>
        </w:tc>
      </w:tr>
      <w:tr w:rsidR="00F224AB" w:rsidRPr="00251665" w:rsidTr="00B74396">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p>
        </w:tc>
        <w:tc>
          <w:tcPr>
            <w:tcW w:w="8087" w:type="dxa"/>
            <w:gridSpan w:val="7"/>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Government budget deficits (as a percentage of GDP)</w:t>
            </w:r>
          </w:p>
        </w:tc>
      </w:tr>
      <w:tr w:rsidR="00F224AB" w:rsidRPr="00251665" w:rsidTr="00F224AB">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Unrevised</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4.0</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2.5</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1.8</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2.0</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1.4</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1.4</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1.7</w:t>
            </w:r>
          </w:p>
        </w:tc>
      </w:tr>
      <w:tr w:rsidR="00F224AB" w:rsidRPr="00251665" w:rsidTr="00F224AB">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Revised</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6.6</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4.3</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3.4</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4.1</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3.7</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3.7</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4.6</w:t>
            </w:r>
          </w:p>
        </w:tc>
      </w:tr>
      <w:tr w:rsidR="00F224AB" w:rsidRPr="00251665" w:rsidTr="00B74396">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p>
        </w:tc>
        <w:tc>
          <w:tcPr>
            <w:tcW w:w="8087" w:type="dxa"/>
            <w:gridSpan w:val="7"/>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Government debt (as a percentage of GDP)</w:t>
            </w:r>
          </w:p>
        </w:tc>
      </w:tr>
      <w:tr w:rsidR="00F224AB" w:rsidRPr="00251665" w:rsidTr="00F224AB">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Unrevised</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108</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106</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105</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106</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106</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105</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103</w:t>
            </w:r>
          </w:p>
        </w:tc>
      </w:tr>
      <w:tr w:rsidR="00F224AB" w:rsidRPr="00251665" w:rsidTr="00F224AB">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Revised</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114</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112</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112</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114</w:t>
            </w:r>
          </w:p>
        </w:tc>
        <w:tc>
          <w:tcPr>
            <w:tcW w:w="1155"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115</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113</w:t>
            </w:r>
          </w:p>
        </w:tc>
        <w:tc>
          <w:tcPr>
            <w:tcW w:w="1156" w:type="dxa"/>
          </w:tcPr>
          <w:p w:rsidR="00F224AB" w:rsidRPr="00251665" w:rsidRDefault="00F224AB" w:rsidP="009C59D0">
            <w:pPr>
              <w:autoSpaceDE w:val="0"/>
              <w:autoSpaceDN w:val="0"/>
              <w:adjustRightInd w:val="0"/>
              <w:jc w:val="both"/>
              <w:rPr>
                <w:rFonts w:ascii="Verdana" w:hAnsi="Verdana" w:cs="TimesNewRomanWGL"/>
                <w:sz w:val="20"/>
                <w:szCs w:val="20"/>
              </w:rPr>
            </w:pPr>
            <w:r w:rsidRPr="00251665">
              <w:rPr>
                <w:rFonts w:ascii="Verdana" w:hAnsi="Verdana" w:cs="TimesNewRomanWGL"/>
                <w:sz w:val="20"/>
                <w:szCs w:val="20"/>
              </w:rPr>
              <w:t>110</w:t>
            </w:r>
          </w:p>
        </w:tc>
      </w:tr>
    </w:tbl>
    <w:p w:rsidR="000F581A" w:rsidRDefault="000F581A" w:rsidP="009C59D0">
      <w:pPr>
        <w:autoSpaceDE w:val="0"/>
        <w:autoSpaceDN w:val="0"/>
        <w:adjustRightInd w:val="0"/>
        <w:jc w:val="both"/>
        <w:rPr>
          <w:rFonts w:ascii="Verdana" w:hAnsi="Verdana" w:cs="TimesNewRomanWGL"/>
          <w:sz w:val="18"/>
          <w:szCs w:val="18"/>
          <w:vertAlign w:val="superscript"/>
        </w:rPr>
      </w:pPr>
    </w:p>
    <w:p w:rsidR="00F224AB" w:rsidRPr="000F581A" w:rsidRDefault="00F224AB" w:rsidP="009C59D0">
      <w:pPr>
        <w:autoSpaceDE w:val="0"/>
        <w:autoSpaceDN w:val="0"/>
        <w:adjustRightInd w:val="0"/>
        <w:jc w:val="both"/>
        <w:rPr>
          <w:rFonts w:ascii="Verdana" w:hAnsi="Verdana" w:cs="TimesNewRomanWGL"/>
          <w:sz w:val="18"/>
          <w:szCs w:val="18"/>
        </w:rPr>
      </w:pPr>
      <w:r w:rsidRPr="000F581A">
        <w:rPr>
          <w:rFonts w:ascii="Verdana" w:hAnsi="Verdana" w:cs="TimesNewRomanWGL"/>
          <w:sz w:val="18"/>
          <w:szCs w:val="18"/>
          <w:vertAlign w:val="superscript"/>
        </w:rPr>
        <w:t>*</w:t>
      </w:r>
      <w:r w:rsidRPr="000F581A">
        <w:rPr>
          <w:rFonts w:ascii="Verdana" w:hAnsi="Verdana" w:cs="TimesNewRomanWGL"/>
          <w:sz w:val="18"/>
          <w:szCs w:val="18"/>
        </w:rPr>
        <w:t xml:space="preserve">Revised data is from Feb 2004, Source: </w:t>
      </w:r>
      <w:r w:rsidR="00EE71ED" w:rsidRPr="000F581A">
        <w:rPr>
          <w:rFonts w:ascii="Verdana" w:hAnsi="Verdana" w:cs="TimesNewRomanWGL"/>
          <w:sz w:val="18"/>
          <w:szCs w:val="18"/>
        </w:rPr>
        <w:t>IMF, Greece: 2004 Article IV Consultation: Staff Report.</w:t>
      </w:r>
    </w:p>
    <w:p w:rsidR="00402DC1" w:rsidRDefault="00402DC1" w:rsidP="009C59D0">
      <w:pPr>
        <w:autoSpaceDE w:val="0"/>
        <w:autoSpaceDN w:val="0"/>
        <w:adjustRightInd w:val="0"/>
        <w:jc w:val="both"/>
        <w:rPr>
          <w:rFonts w:ascii="Verdana" w:hAnsi="Verdana" w:cs="Verdana"/>
          <w:sz w:val="20"/>
          <w:szCs w:val="20"/>
        </w:rPr>
      </w:pPr>
      <w:r w:rsidRPr="00F346AC">
        <w:rPr>
          <w:rFonts w:ascii="Verdana" w:hAnsi="Verdana" w:cs="Verdana"/>
          <w:sz w:val="20"/>
          <w:szCs w:val="20"/>
        </w:rPr>
        <w:t>At the end of September 2006, under pressure to improve its fiscal performance, Greece announced that</w:t>
      </w:r>
      <w:r w:rsidR="007D37CB">
        <w:rPr>
          <w:rFonts w:ascii="Verdana" w:hAnsi="Verdana" w:cs="Verdana"/>
          <w:sz w:val="20"/>
          <w:szCs w:val="20"/>
        </w:rPr>
        <w:t xml:space="preserve"> after including its informal economy,</w:t>
      </w:r>
      <w:r w:rsidRPr="00F346AC">
        <w:rPr>
          <w:rFonts w:ascii="Verdana" w:hAnsi="Verdana" w:cs="Verdana"/>
          <w:sz w:val="20"/>
          <w:szCs w:val="20"/>
        </w:rPr>
        <w:t xml:space="preserve"> its GDP was actually about 25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higher than previously though</w:t>
      </w:r>
      <w:r w:rsidR="007D37CB">
        <w:rPr>
          <w:rFonts w:ascii="Verdana" w:hAnsi="Verdana" w:cs="Verdana"/>
          <w:sz w:val="20"/>
          <w:szCs w:val="20"/>
        </w:rPr>
        <w:t>t.</w:t>
      </w:r>
      <w:r w:rsidRPr="00F346AC">
        <w:rPr>
          <w:rFonts w:ascii="Verdana" w:hAnsi="Verdana" w:cs="Verdana"/>
          <w:sz w:val="20"/>
          <w:szCs w:val="20"/>
        </w:rPr>
        <w:t xml:space="preserve"> Thus, its debt was really only 85.3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of GDP. Despite the new numbers, in 2008 Greece announced a preliminary government budget deficit of 5.0 </w:t>
      </w:r>
      <w:proofErr w:type="spellStart"/>
      <w:r w:rsidRPr="00F346AC">
        <w:rPr>
          <w:rFonts w:ascii="Verdana" w:hAnsi="Verdana" w:cs="Verdana"/>
          <w:sz w:val="20"/>
          <w:szCs w:val="20"/>
        </w:rPr>
        <w:t>percent</w:t>
      </w:r>
      <w:proofErr w:type="spellEnd"/>
      <w:r w:rsidRPr="00F346AC">
        <w:rPr>
          <w:rFonts w:ascii="Verdana" w:hAnsi="Verdana" w:cs="Verdana"/>
          <w:sz w:val="20"/>
          <w:szCs w:val="20"/>
        </w:rPr>
        <w:t xml:space="preserve"> of GDP and </w:t>
      </w:r>
      <w:r w:rsidR="008637DB" w:rsidRPr="00F346AC">
        <w:rPr>
          <w:rFonts w:ascii="Verdana" w:hAnsi="Verdana" w:cs="Verdana"/>
          <w:sz w:val="20"/>
          <w:szCs w:val="20"/>
        </w:rPr>
        <w:t xml:space="preserve">debt that had grown to 98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of GDP</w:t>
      </w:r>
      <w:r w:rsidR="00EE71ED" w:rsidRPr="00F346AC">
        <w:rPr>
          <w:rFonts w:ascii="Verdana" w:hAnsi="Verdana" w:cs="Verdana"/>
          <w:sz w:val="20"/>
          <w:szCs w:val="20"/>
        </w:rPr>
        <w:t>: a continued violation of the Pact</w:t>
      </w:r>
      <w:r w:rsidR="008637DB" w:rsidRPr="00F346AC">
        <w:rPr>
          <w:rFonts w:ascii="Verdana" w:hAnsi="Verdana" w:cs="Verdana"/>
          <w:sz w:val="20"/>
          <w:szCs w:val="20"/>
        </w:rPr>
        <w:t xml:space="preserve">. Even this was untrue: in November of that year, the government admitted that the budget deficit was actually 7.7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of GDP and that it would be 12.5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in 2009, rather than the previously reported 3.7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Eurostat later revised the 2009 figure to 13.6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Government debt in 2009 was reported to be 115.2 </w:t>
      </w:r>
      <w:proofErr w:type="spellStart"/>
      <w:r w:rsidR="008637DB" w:rsidRPr="00F346AC">
        <w:rPr>
          <w:rFonts w:ascii="Verdana" w:hAnsi="Verdana" w:cs="Verdana"/>
          <w:sz w:val="20"/>
          <w:szCs w:val="20"/>
        </w:rPr>
        <w:t>percent</w:t>
      </w:r>
      <w:proofErr w:type="spellEnd"/>
      <w:r w:rsidR="008637DB" w:rsidRPr="00F346AC">
        <w:rPr>
          <w:rFonts w:ascii="Verdana" w:hAnsi="Verdana" w:cs="Verdana"/>
          <w:sz w:val="20"/>
          <w:szCs w:val="20"/>
        </w:rPr>
        <w:t xml:space="preserve"> of GDP.</w:t>
      </w:r>
    </w:p>
    <w:p w:rsidR="000F581A" w:rsidRDefault="000F581A">
      <w:pPr>
        <w:rPr>
          <w:rFonts w:ascii="Verdana,Bold" w:hAnsi="Verdana,Bold" w:cs="Verdana,Bold"/>
          <w:b/>
          <w:bCs/>
          <w:color w:val="000080"/>
          <w:sz w:val="24"/>
          <w:szCs w:val="24"/>
        </w:rPr>
      </w:pPr>
      <w:r>
        <w:rPr>
          <w:rFonts w:ascii="Verdana,Bold" w:hAnsi="Verdana,Bold" w:cs="Verdana,Bold"/>
          <w:b/>
          <w:bCs/>
          <w:color w:val="000080"/>
          <w:sz w:val="24"/>
          <w:szCs w:val="24"/>
        </w:rPr>
        <w:br w:type="page"/>
      </w:r>
    </w:p>
    <w:p w:rsidR="004122AC" w:rsidRPr="00F346AC" w:rsidRDefault="004122AC" w:rsidP="009C59D0">
      <w:pPr>
        <w:autoSpaceDE w:val="0"/>
        <w:autoSpaceDN w:val="0"/>
        <w:adjustRightInd w:val="0"/>
        <w:jc w:val="both"/>
        <w:rPr>
          <w:rFonts w:ascii="Verdana" w:hAnsi="Verdana" w:cs="Verdana"/>
          <w:sz w:val="20"/>
          <w:szCs w:val="20"/>
        </w:rPr>
      </w:pPr>
      <w:r>
        <w:rPr>
          <w:rFonts w:ascii="Verdana,Bold" w:hAnsi="Verdana,Bold" w:cs="Verdana,Bold"/>
          <w:b/>
          <w:bCs/>
          <w:color w:val="000080"/>
          <w:sz w:val="24"/>
          <w:szCs w:val="24"/>
        </w:rPr>
        <w:lastRenderedPageBreak/>
        <w:t>2.1 The Greek Debt Crisis and the History of the Euro Area suggest that Fiscal Targets are not a Solution</w:t>
      </w:r>
    </w:p>
    <w:p w:rsidR="000C04D7" w:rsidRPr="00F346AC" w:rsidRDefault="000C04D7" w:rsidP="009B03F4">
      <w:pPr>
        <w:autoSpaceDE w:val="0"/>
        <w:autoSpaceDN w:val="0"/>
        <w:adjustRightInd w:val="0"/>
        <w:jc w:val="both"/>
        <w:rPr>
          <w:rFonts w:ascii="Verdana" w:hAnsi="Verdana" w:cs="Verdana"/>
          <w:sz w:val="20"/>
          <w:szCs w:val="20"/>
        </w:rPr>
      </w:pPr>
      <w:r w:rsidRPr="00F346AC">
        <w:rPr>
          <w:rFonts w:ascii="Verdana" w:hAnsi="Verdana" w:cs="Verdana"/>
          <w:sz w:val="20"/>
          <w:szCs w:val="20"/>
        </w:rPr>
        <w:t>Throughout the current crisis, policy makers have discussed improving the functioning of the Stability and Growth Pact as a way of ensure financial stability in the euro area.</w:t>
      </w:r>
      <w:r w:rsidRPr="00F346AC">
        <w:rPr>
          <w:rStyle w:val="FootnoteReference"/>
          <w:rFonts w:ascii="Verdana" w:hAnsi="Verdana" w:cs="Verdana"/>
          <w:sz w:val="20"/>
          <w:szCs w:val="20"/>
        </w:rPr>
        <w:footnoteReference w:id="1"/>
      </w:r>
      <w:r w:rsidRPr="00F346AC">
        <w:rPr>
          <w:rFonts w:ascii="Verdana" w:hAnsi="Verdana" w:cs="Verdana"/>
          <w:sz w:val="20"/>
          <w:szCs w:val="20"/>
        </w:rPr>
        <w:t xml:space="preserve"> </w:t>
      </w:r>
      <w:r w:rsidR="00EE71ED" w:rsidRPr="00F346AC">
        <w:rPr>
          <w:rFonts w:ascii="Verdana" w:hAnsi="Verdana" w:cs="Verdana"/>
          <w:sz w:val="20"/>
          <w:szCs w:val="20"/>
        </w:rPr>
        <w:t xml:space="preserve">However, an important lesson from the Greek crisis is that </w:t>
      </w:r>
      <w:r w:rsidR="008637DB" w:rsidRPr="00F346AC">
        <w:rPr>
          <w:rFonts w:ascii="Verdana" w:hAnsi="Verdana" w:cs="Verdana"/>
          <w:sz w:val="20"/>
          <w:szCs w:val="20"/>
        </w:rPr>
        <w:t xml:space="preserve">policy makers </w:t>
      </w:r>
      <w:r w:rsidR="009C59D0" w:rsidRPr="00F346AC">
        <w:rPr>
          <w:rFonts w:ascii="Verdana" w:hAnsi="Verdana" w:cs="Verdana"/>
          <w:sz w:val="20"/>
          <w:szCs w:val="20"/>
        </w:rPr>
        <w:t xml:space="preserve">lack the political will to enforce </w:t>
      </w:r>
      <w:r w:rsidR="008637DB" w:rsidRPr="00F346AC">
        <w:rPr>
          <w:rFonts w:ascii="Verdana" w:hAnsi="Verdana" w:cs="Verdana"/>
          <w:sz w:val="20"/>
          <w:szCs w:val="20"/>
        </w:rPr>
        <w:t xml:space="preserve">fiscal </w:t>
      </w:r>
      <w:r w:rsidR="009C59D0" w:rsidRPr="00F346AC">
        <w:rPr>
          <w:rFonts w:ascii="Verdana" w:hAnsi="Verdana" w:cs="Verdana"/>
          <w:sz w:val="20"/>
          <w:szCs w:val="20"/>
        </w:rPr>
        <w:t>targets</w:t>
      </w:r>
      <w:r w:rsidR="008637DB" w:rsidRPr="00F346AC">
        <w:rPr>
          <w:rFonts w:ascii="Verdana" w:hAnsi="Verdana" w:cs="Verdana"/>
          <w:sz w:val="20"/>
          <w:szCs w:val="20"/>
        </w:rPr>
        <w:t>, at least for west European countries. Despite their remarkable squeamishness in refusing Lithuania entry</w:t>
      </w:r>
      <w:r w:rsidR="004122AC">
        <w:rPr>
          <w:rFonts w:ascii="Verdana" w:hAnsi="Verdana" w:cs="Verdana"/>
          <w:sz w:val="20"/>
          <w:szCs w:val="20"/>
        </w:rPr>
        <w:t xml:space="preserve"> to the euro area</w:t>
      </w:r>
      <w:r w:rsidR="008637DB" w:rsidRPr="00F346AC">
        <w:rPr>
          <w:rFonts w:ascii="Verdana" w:hAnsi="Verdana" w:cs="Verdana"/>
          <w:sz w:val="20"/>
          <w:szCs w:val="20"/>
        </w:rPr>
        <w:t xml:space="preserve"> when it violated the inflation criterion by a hair’s breadth, they were unable to deny Greece entry when it was in obvious violation</w:t>
      </w:r>
      <w:r w:rsidR="004122AC">
        <w:rPr>
          <w:rFonts w:ascii="Verdana" w:hAnsi="Verdana" w:cs="Verdana"/>
          <w:sz w:val="20"/>
          <w:szCs w:val="20"/>
        </w:rPr>
        <w:t xml:space="preserve"> of the fiscal criteria</w:t>
      </w:r>
      <w:r w:rsidRPr="00F346AC">
        <w:rPr>
          <w:rFonts w:ascii="Verdana" w:hAnsi="Verdana" w:cs="Verdana"/>
          <w:sz w:val="20"/>
          <w:szCs w:val="20"/>
        </w:rPr>
        <w:t xml:space="preserve">. </w:t>
      </w:r>
    </w:p>
    <w:p w:rsidR="008637DB" w:rsidRPr="00F346AC" w:rsidRDefault="00EE71ED" w:rsidP="009B03F4">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This lesson is reinforced by the histories of most of the other members of the euro area. </w:t>
      </w:r>
      <w:r w:rsidR="009B03F4" w:rsidRPr="00F346AC">
        <w:rPr>
          <w:rFonts w:ascii="Verdana" w:hAnsi="Verdana" w:cs="Verdana"/>
          <w:sz w:val="20"/>
          <w:szCs w:val="20"/>
        </w:rPr>
        <w:t xml:space="preserve"> </w:t>
      </w:r>
      <w:r w:rsidR="00903DCF" w:rsidRPr="00F346AC">
        <w:rPr>
          <w:rFonts w:ascii="Verdana" w:hAnsi="Verdana" w:cs="Verdana"/>
          <w:sz w:val="20"/>
          <w:szCs w:val="20"/>
        </w:rPr>
        <w:t>P</w:t>
      </w:r>
      <w:r w:rsidR="009B03F4" w:rsidRPr="00F346AC">
        <w:rPr>
          <w:rFonts w:ascii="Verdana" w:hAnsi="Verdana" w:cs="Verdana"/>
          <w:sz w:val="20"/>
          <w:szCs w:val="20"/>
        </w:rPr>
        <w:t>rior to the</w:t>
      </w:r>
      <w:r w:rsidR="008637DB" w:rsidRPr="00F346AC">
        <w:rPr>
          <w:rFonts w:ascii="Verdana" w:hAnsi="Verdana" w:cs="Verdana"/>
          <w:sz w:val="20"/>
          <w:szCs w:val="20"/>
        </w:rPr>
        <w:t xml:space="preserve"> liquidity and credit</w:t>
      </w:r>
      <w:r w:rsidR="009B03F4" w:rsidRPr="00F346AC">
        <w:rPr>
          <w:rFonts w:ascii="Verdana" w:hAnsi="Verdana" w:cs="Verdana"/>
          <w:sz w:val="20"/>
          <w:szCs w:val="20"/>
        </w:rPr>
        <w:t xml:space="preserve"> crisis (in 2006), Greece, Italy and Portugal were running </w:t>
      </w:r>
      <w:r w:rsidR="004122AC">
        <w:rPr>
          <w:rFonts w:ascii="Verdana" w:hAnsi="Verdana" w:cs="Verdana"/>
          <w:sz w:val="20"/>
          <w:szCs w:val="20"/>
        </w:rPr>
        <w:t xml:space="preserve">government budget </w:t>
      </w:r>
      <w:r w:rsidR="009B03F4" w:rsidRPr="00F346AC">
        <w:rPr>
          <w:rFonts w:ascii="Verdana" w:hAnsi="Verdana" w:cs="Verdana"/>
          <w:sz w:val="20"/>
          <w:szCs w:val="20"/>
        </w:rPr>
        <w:t xml:space="preserve">deficits equal to 3.6, 3.3 and 3.9 </w:t>
      </w:r>
      <w:proofErr w:type="spellStart"/>
      <w:r w:rsidR="009B03F4" w:rsidRPr="00F346AC">
        <w:rPr>
          <w:rFonts w:ascii="Verdana" w:hAnsi="Verdana" w:cs="Verdana"/>
          <w:sz w:val="20"/>
          <w:szCs w:val="20"/>
        </w:rPr>
        <w:t>percent</w:t>
      </w:r>
      <w:proofErr w:type="spellEnd"/>
      <w:r w:rsidR="009B03F4" w:rsidRPr="00F346AC">
        <w:rPr>
          <w:rFonts w:ascii="Verdana" w:hAnsi="Verdana" w:cs="Verdana"/>
          <w:sz w:val="20"/>
          <w:szCs w:val="20"/>
        </w:rPr>
        <w:t xml:space="preserve"> of GDP, respectively. Even Germany has regularly breached this target. More importantly, as seen in Figure 2, below, nine out the 16 current Euro area member states had debt that was over 60 </w:t>
      </w:r>
      <w:proofErr w:type="spellStart"/>
      <w:r w:rsidR="009B03F4" w:rsidRPr="00F346AC">
        <w:rPr>
          <w:rFonts w:ascii="Verdana" w:hAnsi="Verdana" w:cs="Verdana"/>
          <w:sz w:val="20"/>
          <w:szCs w:val="20"/>
        </w:rPr>
        <w:t>percent</w:t>
      </w:r>
      <w:proofErr w:type="spellEnd"/>
      <w:r w:rsidR="009B03F4" w:rsidRPr="00F346AC">
        <w:rPr>
          <w:rFonts w:ascii="Verdana" w:hAnsi="Verdana" w:cs="Verdana"/>
          <w:sz w:val="20"/>
          <w:szCs w:val="20"/>
        </w:rPr>
        <w:t xml:space="preserve"> of GDP in 2006; ten were in violation in 2009. </w:t>
      </w:r>
    </w:p>
    <w:p w:rsidR="00997ED7" w:rsidRPr="00F346AC" w:rsidRDefault="00997ED7" w:rsidP="006C5E1B">
      <w:pPr>
        <w:autoSpaceDE w:val="0"/>
        <w:autoSpaceDN w:val="0"/>
        <w:adjustRightInd w:val="0"/>
        <w:jc w:val="both"/>
        <w:rPr>
          <w:rFonts w:ascii="Verdana" w:hAnsi="Verdana" w:cs="Verdana"/>
          <w:sz w:val="20"/>
          <w:szCs w:val="20"/>
        </w:rPr>
      </w:pPr>
    </w:p>
    <w:p w:rsidR="00165737" w:rsidRPr="000F581A" w:rsidRDefault="00165737" w:rsidP="000F581A">
      <w:pPr>
        <w:jc w:val="center"/>
        <w:rPr>
          <w:rFonts w:ascii="Verdana" w:hAnsi="Verdana" w:cs="Verdana"/>
          <w:b/>
          <w:sz w:val="20"/>
          <w:szCs w:val="20"/>
        </w:rPr>
      </w:pPr>
      <w:proofErr w:type="gramStart"/>
      <w:r w:rsidRPr="00F346AC">
        <w:rPr>
          <w:rFonts w:ascii="Verdana" w:hAnsi="Verdana" w:cs="Verdana"/>
          <w:b/>
          <w:sz w:val="20"/>
          <w:szCs w:val="20"/>
        </w:rPr>
        <w:t xml:space="preserve">Figure </w:t>
      </w:r>
      <w:r w:rsidR="00385675" w:rsidRPr="00F346AC">
        <w:rPr>
          <w:rFonts w:ascii="Verdana" w:hAnsi="Verdana" w:cs="Verdana"/>
          <w:b/>
          <w:sz w:val="20"/>
          <w:szCs w:val="20"/>
        </w:rPr>
        <w:t>2</w:t>
      </w:r>
      <w:r w:rsidRPr="00F346AC">
        <w:rPr>
          <w:rFonts w:ascii="Verdana" w:hAnsi="Verdana" w:cs="Verdana"/>
          <w:b/>
          <w:sz w:val="20"/>
          <w:szCs w:val="20"/>
        </w:rPr>
        <w:t>.</w:t>
      </w:r>
      <w:proofErr w:type="gramEnd"/>
      <w:r w:rsidRPr="00F346AC">
        <w:rPr>
          <w:rFonts w:ascii="Verdana" w:hAnsi="Verdana" w:cs="Verdana"/>
          <w:b/>
          <w:sz w:val="20"/>
          <w:szCs w:val="20"/>
        </w:rPr>
        <w:t xml:space="preserve"> Debt as a Percentage of GDP</w:t>
      </w:r>
      <w:r w:rsidRPr="00F346AC">
        <w:rPr>
          <w:rFonts w:ascii="Verdana" w:hAnsi="Verdana" w:cs="Verdana"/>
          <w:sz w:val="20"/>
          <w:szCs w:val="20"/>
          <w:vertAlign w:val="superscript"/>
        </w:rPr>
        <w:t>*</w:t>
      </w:r>
    </w:p>
    <w:p w:rsidR="00327D46" w:rsidRPr="00F346AC" w:rsidRDefault="00327D46" w:rsidP="006C5E1B">
      <w:pPr>
        <w:autoSpaceDE w:val="0"/>
        <w:autoSpaceDN w:val="0"/>
        <w:adjustRightInd w:val="0"/>
        <w:jc w:val="both"/>
        <w:rPr>
          <w:rFonts w:ascii="Verdana" w:hAnsi="Verdana" w:cs="Verdana"/>
          <w:sz w:val="20"/>
          <w:szCs w:val="20"/>
        </w:rPr>
      </w:pPr>
      <w:r w:rsidRPr="00F346AC">
        <w:rPr>
          <w:rFonts w:ascii="Verdana" w:hAnsi="Verdana" w:cs="Verdana"/>
          <w:noProof/>
          <w:sz w:val="20"/>
          <w:szCs w:val="20"/>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7D46" w:rsidRPr="00F346AC" w:rsidRDefault="00165737" w:rsidP="006C5E1B">
      <w:pPr>
        <w:autoSpaceDE w:val="0"/>
        <w:autoSpaceDN w:val="0"/>
        <w:adjustRightInd w:val="0"/>
        <w:jc w:val="both"/>
        <w:rPr>
          <w:rFonts w:ascii="Verdana" w:hAnsi="Verdana" w:cs="Verdana"/>
          <w:sz w:val="20"/>
          <w:szCs w:val="20"/>
          <w:vertAlign w:val="superscript"/>
        </w:rPr>
      </w:pPr>
      <w:r w:rsidRPr="00F346AC">
        <w:rPr>
          <w:rFonts w:ascii="Verdana" w:hAnsi="Verdana" w:cs="Verdana"/>
          <w:sz w:val="20"/>
          <w:szCs w:val="20"/>
          <w:vertAlign w:val="superscript"/>
        </w:rPr>
        <w:t>*Source: ECB</w:t>
      </w:r>
    </w:p>
    <w:p w:rsidR="00517C5B" w:rsidRDefault="00517C5B" w:rsidP="00517C5B">
      <w:pPr>
        <w:autoSpaceDE w:val="0"/>
        <w:autoSpaceDN w:val="0"/>
        <w:adjustRightInd w:val="0"/>
        <w:jc w:val="both"/>
        <w:rPr>
          <w:rFonts w:ascii="Verdana" w:hAnsi="Verdana" w:cs="Verdana"/>
          <w:sz w:val="20"/>
          <w:szCs w:val="20"/>
        </w:rPr>
      </w:pPr>
      <w:r w:rsidRPr="00F346AC">
        <w:rPr>
          <w:rFonts w:ascii="Verdana" w:hAnsi="Verdana" w:cs="Verdana"/>
          <w:sz w:val="20"/>
          <w:szCs w:val="20"/>
        </w:rPr>
        <w:t>Fiscal criteria are never going to function as intended unless violators are pu</w:t>
      </w:r>
      <w:r w:rsidR="004122AC">
        <w:rPr>
          <w:rFonts w:ascii="Verdana" w:hAnsi="Verdana" w:cs="Verdana"/>
          <w:sz w:val="20"/>
          <w:szCs w:val="20"/>
        </w:rPr>
        <w:t>n</w:t>
      </w:r>
      <w:r w:rsidRPr="00F346AC">
        <w:rPr>
          <w:rFonts w:ascii="Verdana" w:hAnsi="Verdana" w:cs="Verdana"/>
          <w:sz w:val="20"/>
          <w:szCs w:val="20"/>
        </w:rPr>
        <w:t xml:space="preserve">ished. As the experience of Greece and the history of administering the Pact </w:t>
      </w:r>
      <w:proofErr w:type="gramStart"/>
      <w:r w:rsidRPr="00F346AC">
        <w:rPr>
          <w:rFonts w:ascii="Verdana" w:hAnsi="Verdana" w:cs="Verdana"/>
          <w:sz w:val="20"/>
          <w:szCs w:val="20"/>
        </w:rPr>
        <w:t>has</w:t>
      </w:r>
      <w:proofErr w:type="gramEnd"/>
      <w:r w:rsidRPr="00F346AC">
        <w:rPr>
          <w:rFonts w:ascii="Verdana" w:hAnsi="Verdana" w:cs="Verdana"/>
          <w:sz w:val="20"/>
          <w:szCs w:val="20"/>
        </w:rPr>
        <w:t xml:space="preserve"> shown, this is not currently politically feasible. </w:t>
      </w:r>
    </w:p>
    <w:p w:rsidR="0032495C" w:rsidRPr="00F346AC" w:rsidRDefault="0032495C" w:rsidP="00517C5B">
      <w:pPr>
        <w:autoSpaceDE w:val="0"/>
        <w:autoSpaceDN w:val="0"/>
        <w:adjustRightInd w:val="0"/>
        <w:jc w:val="both"/>
        <w:rPr>
          <w:rFonts w:ascii="Verdana" w:hAnsi="Verdana" w:cs="Verdana"/>
          <w:sz w:val="20"/>
          <w:szCs w:val="20"/>
        </w:rPr>
      </w:pPr>
      <w:r>
        <w:rPr>
          <w:rFonts w:ascii="Verdana,Bold" w:hAnsi="Verdana,Bold" w:cs="Verdana,Bold"/>
          <w:b/>
          <w:bCs/>
          <w:color w:val="000080"/>
          <w:sz w:val="24"/>
          <w:szCs w:val="24"/>
        </w:rPr>
        <w:lastRenderedPageBreak/>
        <w:t>2.2 What does the Greek Debt Crisis say about Markets’ Ability to Police Sovereigns?</w:t>
      </w:r>
    </w:p>
    <w:p w:rsidR="00517C5B" w:rsidRPr="00F346AC" w:rsidRDefault="00903DCF" w:rsidP="00903DCF">
      <w:pPr>
        <w:jc w:val="both"/>
        <w:rPr>
          <w:rFonts w:ascii="Verdana" w:hAnsi="Verdana" w:cs="Verdana"/>
          <w:sz w:val="20"/>
          <w:szCs w:val="20"/>
        </w:rPr>
      </w:pPr>
      <w:r w:rsidRPr="00F346AC">
        <w:rPr>
          <w:rFonts w:ascii="Verdana" w:hAnsi="Verdana" w:cs="Verdana"/>
          <w:sz w:val="20"/>
          <w:szCs w:val="20"/>
        </w:rPr>
        <w:t xml:space="preserve">It is interesting to ask why the markets </w:t>
      </w:r>
      <w:r w:rsidR="00517C5B" w:rsidRPr="00F346AC">
        <w:rPr>
          <w:rFonts w:ascii="Verdana" w:hAnsi="Verdana" w:cs="Verdana"/>
          <w:sz w:val="20"/>
          <w:szCs w:val="20"/>
        </w:rPr>
        <w:t>allow</w:t>
      </w:r>
      <w:r w:rsidRPr="00F346AC">
        <w:rPr>
          <w:rFonts w:ascii="Verdana" w:hAnsi="Verdana" w:cs="Verdana"/>
          <w:sz w:val="20"/>
          <w:szCs w:val="20"/>
        </w:rPr>
        <w:t>ed</w:t>
      </w:r>
      <w:r w:rsidR="00517C5B" w:rsidRPr="00F346AC">
        <w:rPr>
          <w:rFonts w:ascii="Verdana" w:hAnsi="Verdana" w:cs="Verdana"/>
          <w:sz w:val="20"/>
          <w:szCs w:val="20"/>
        </w:rPr>
        <w:t xml:space="preserve"> the Greek debt crisis to happen</w:t>
      </w:r>
      <w:r w:rsidR="00AF6A1B">
        <w:rPr>
          <w:rFonts w:ascii="Verdana" w:hAnsi="Verdana" w:cs="Verdana"/>
          <w:sz w:val="20"/>
          <w:szCs w:val="20"/>
        </w:rPr>
        <w:t>.</w:t>
      </w:r>
      <w:r w:rsidR="00517C5B" w:rsidRPr="00F346AC">
        <w:rPr>
          <w:rFonts w:ascii="Verdana" w:hAnsi="Verdana" w:cs="Verdana"/>
          <w:sz w:val="20"/>
          <w:szCs w:val="20"/>
        </w:rPr>
        <w:t xml:space="preserve"> </w:t>
      </w:r>
      <w:r w:rsidRPr="00F346AC">
        <w:rPr>
          <w:rFonts w:ascii="Verdana" w:hAnsi="Verdana" w:cs="Verdana"/>
          <w:sz w:val="20"/>
          <w:szCs w:val="20"/>
        </w:rPr>
        <w:t>I</w:t>
      </w:r>
      <w:r w:rsidR="00517C5B" w:rsidRPr="00F346AC">
        <w:rPr>
          <w:rFonts w:ascii="Verdana" w:hAnsi="Verdana" w:cs="Verdana"/>
          <w:sz w:val="20"/>
          <w:szCs w:val="20"/>
        </w:rPr>
        <w:t xml:space="preserve">t seems remarkable </w:t>
      </w:r>
      <w:r w:rsidRPr="00F346AC">
        <w:rPr>
          <w:rFonts w:ascii="Verdana" w:hAnsi="Verdana" w:cs="Verdana"/>
          <w:sz w:val="20"/>
          <w:szCs w:val="20"/>
        </w:rPr>
        <w:t xml:space="preserve">in hindsight </w:t>
      </w:r>
      <w:r w:rsidR="00517C5B" w:rsidRPr="00F346AC">
        <w:rPr>
          <w:rFonts w:ascii="Verdana" w:hAnsi="Verdana" w:cs="Verdana"/>
          <w:sz w:val="20"/>
          <w:szCs w:val="20"/>
        </w:rPr>
        <w:t>that interest rates on Greek sovereign debt did not rise sharply</w:t>
      </w:r>
      <w:r w:rsidRPr="00F346AC">
        <w:rPr>
          <w:rFonts w:ascii="Verdana" w:hAnsi="Verdana" w:cs="Verdana"/>
          <w:sz w:val="20"/>
          <w:szCs w:val="20"/>
        </w:rPr>
        <w:t xml:space="preserve"> long before they did</w:t>
      </w:r>
      <w:r w:rsidR="00517C5B" w:rsidRPr="00F346AC">
        <w:rPr>
          <w:rFonts w:ascii="Verdana" w:hAnsi="Verdana" w:cs="Verdana"/>
          <w:sz w:val="20"/>
          <w:szCs w:val="20"/>
        </w:rPr>
        <w:t xml:space="preserve">. If </w:t>
      </w:r>
      <w:r w:rsidRPr="00F346AC">
        <w:rPr>
          <w:rFonts w:ascii="Verdana" w:hAnsi="Verdana" w:cs="Verdana"/>
          <w:sz w:val="20"/>
          <w:szCs w:val="20"/>
        </w:rPr>
        <w:t xml:space="preserve">the markets had forced </w:t>
      </w:r>
      <w:r w:rsidR="00517C5B" w:rsidRPr="00F346AC">
        <w:rPr>
          <w:rFonts w:ascii="Verdana" w:hAnsi="Verdana" w:cs="Verdana"/>
          <w:sz w:val="20"/>
          <w:szCs w:val="20"/>
        </w:rPr>
        <w:t xml:space="preserve">Greece to pre-emptively restructure its debt in, say, 2004, the impact on Europe would have likely been much smaller than it </w:t>
      </w:r>
      <w:r w:rsidRPr="00F346AC">
        <w:rPr>
          <w:rFonts w:ascii="Verdana" w:hAnsi="Verdana" w:cs="Verdana"/>
          <w:sz w:val="20"/>
          <w:szCs w:val="20"/>
        </w:rPr>
        <w:t>would be</w:t>
      </w:r>
      <w:r w:rsidR="00517C5B" w:rsidRPr="00F346AC">
        <w:rPr>
          <w:rFonts w:ascii="Verdana" w:hAnsi="Verdana" w:cs="Verdana"/>
          <w:sz w:val="20"/>
          <w:szCs w:val="20"/>
        </w:rPr>
        <w:t xml:space="preserve"> in the aftermath of the financial crisis. Greece would have been forced to curtail its borrowing and those who invested in Greek debt would have paid for not being more vigilant. Perhaps other fiscal policy makers and investors would have become more cautious. Markets, however, remained stunningly serene</w:t>
      </w:r>
      <w:r w:rsidR="00E52C61" w:rsidRPr="00F346AC">
        <w:rPr>
          <w:rFonts w:ascii="Verdana" w:hAnsi="Verdana" w:cs="Verdana"/>
          <w:sz w:val="20"/>
          <w:szCs w:val="20"/>
        </w:rPr>
        <w:t xml:space="preserve">: the interest rate differential between 10-year Greek and German government bonds hovered at around half a </w:t>
      </w:r>
      <w:proofErr w:type="spellStart"/>
      <w:r w:rsidR="00E52C61" w:rsidRPr="00F346AC">
        <w:rPr>
          <w:rFonts w:ascii="Verdana" w:hAnsi="Verdana" w:cs="Verdana"/>
          <w:sz w:val="20"/>
          <w:szCs w:val="20"/>
        </w:rPr>
        <w:t>percent</w:t>
      </w:r>
      <w:proofErr w:type="spellEnd"/>
      <w:r w:rsidR="00E52C61" w:rsidRPr="00F346AC">
        <w:rPr>
          <w:rFonts w:ascii="Verdana" w:hAnsi="Verdana" w:cs="Verdana"/>
          <w:sz w:val="20"/>
          <w:szCs w:val="20"/>
        </w:rPr>
        <w:t xml:space="preserve"> through 2007. By the end of 2008 it had reached 2.25 and was only 2.41 at the end of 2009. G</w:t>
      </w:r>
      <w:r w:rsidR="00517C5B" w:rsidRPr="00F346AC">
        <w:rPr>
          <w:rFonts w:ascii="Verdana" w:hAnsi="Verdana" w:cs="Verdana"/>
          <w:sz w:val="20"/>
          <w:szCs w:val="20"/>
        </w:rPr>
        <w:t>reek sovereign 9-year CDS rates did not rise above 100 basis points until late 2008.</w:t>
      </w:r>
    </w:p>
    <w:p w:rsidR="00517C5B" w:rsidRDefault="00517C5B" w:rsidP="00903DCF">
      <w:pPr>
        <w:jc w:val="both"/>
        <w:rPr>
          <w:rFonts w:ascii="Verdana" w:hAnsi="Verdana" w:cs="Verdana"/>
          <w:sz w:val="20"/>
          <w:szCs w:val="20"/>
        </w:rPr>
      </w:pPr>
      <w:r w:rsidRPr="00F346AC">
        <w:rPr>
          <w:rFonts w:ascii="Verdana" w:hAnsi="Verdana" w:cs="Verdana"/>
          <w:sz w:val="20"/>
          <w:szCs w:val="20"/>
        </w:rPr>
        <w:t xml:space="preserve">The </w:t>
      </w:r>
      <w:r w:rsidR="00E52C61" w:rsidRPr="00F346AC">
        <w:rPr>
          <w:rFonts w:ascii="Verdana" w:hAnsi="Verdana" w:cs="Verdana"/>
          <w:sz w:val="20"/>
          <w:szCs w:val="20"/>
        </w:rPr>
        <w:t xml:space="preserve">interest rate response </w:t>
      </w:r>
      <w:r w:rsidRPr="00F346AC">
        <w:rPr>
          <w:rFonts w:ascii="Verdana" w:hAnsi="Verdana" w:cs="Verdana"/>
          <w:sz w:val="20"/>
          <w:szCs w:val="20"/>
        </w:rPr>
        <w:t xml:space="preserve">suggests that </w:t>
      </w:r>
      <w:r w:rsidR="00903DCF" w:rsidRPr="00F346AC">
        <w:rPr>
          <w:rFonts w:ascii="Verdana" w:hAnsi="Verdana" w:cs="Verdana"/>
          <w:sz w:val="20"/>
          <w:szCs w:val="20"/>
        </w:rPr>
        <w:t xml:space="preserve">a lesson from the Greek debt crisis is that </w:t>
      </w:r>
      <w:r w:rsidRPr="00F346AC">
        <w:rPr>
          <w:rFonts w:ascii="Verdana" w:hAnsi="Verdana" w:cs="Verdana"/>
          <w:sz w:val="20"/>
          <w:szCs w:val="20"/>
        </w:rPr>
        <w:t xml:space="preserve">markets cannot be </w:t>
      </w:r>
      <w:r w:rsidR="00AF6A1B">
        <w:rPr>
          <w:rFonts w:ascii="Verdana" w:hAnsi="Verdana" w:cs="Verdana"/>
          <w:sz w:val="20"/>
          <w:szCs w:val="20"/>
        </w:rPr>
        <w:t xml:space="preserve">expected to </w:t>
      </w:r>
      <w:r w:rsidR="00E52C61" w:rsidRPr="00F346AC">
        <w:rPr>
          <w:rFonts w:ascii="Verdana" w:hAnsi="Verdana" w:cs="Verdana"/>
          <w:sz w:val="20"/>
          <w:szCs w:val="20"/>
        </w:rPr>
        <w:t>discipline errant policy makers</w:t>
      </w:r>
      <w:r w:rsidRPr="00F346AC">
        <w:rPr>
          <w:rFonts w:ascii="Verdana" w:hAnsi="Verdana" w:cs="Verdana"/>
          <w:sz w:val="20"/>
          <w:szCs w:val="20"/>
        </w:rPr>
        <w:t xml:space="preserve">. This may not be true, however. A lack of good policy making and may have hindered </w:t>
      </w:r>
      <w:r w:rsidR="00903DCF" w:rsidRPr="00F346AC">
        <w:rPr>
          <w:rFonts w:ascii="Verdana" w:hAnsi="Verdana" w:cs="Verdana"/>
          <w:sz w:val="20"/>
          <w:szCs w:val="20"/>
        </w:rPr>
        <w:t xml:space="preserve">the </w:t>
      </w:r>
      <w:r w:rsidRPr="00F346AC">
        <w:rPr>
          <w:rFonts w:ascii="Verdana" w:hAnsi="Verdana" w:cs="Verdana"/>
          <w:sz w:val="20"/>
          <w:szCs w:val="20"/>
        </w:rPr>
        <w:t>market</w:t>
      </w:r>
      <w:r w:rsidR="00903DCF" w:rsidRPr="00F346AC">
        <w:rPr>
          <w:rFonts w:ascii="Verdana" w:hAnsi="Verdana" w:cs="Verdana"/>
          <w:sz w:val="20"/>
          <w:szCs w:val="20"/>
        </w:rPr>
        <w:t>’</w:t>
      </w:r>
      <w:r w:rsidRPr="00F346AC">
        <w:rPr>
          <w:rFonts w:ascii="Verdana" w:hAnsi="Verdana" w:cs="Verdana"/>
          <w:sz w:val="20"/>
          <w:szCs w:val="20"/>
        </w:rPr>
        <w:t>s ability to function effectively</w:t>
      </w:r>
      <w:r w:rsidR="00903DCF" w:rsidRPr="00F346AC">
        <w:rPr>
          <w:rFonts w:ascii="Verdana" w:hAnsi="Verdana" w:cs="Verdana"/>
          <w:sz w:val="20"/>
          <w:szCs w:val="20"/>
        </w:rPr>
        <w:t>. I provide t</w:t>
      </w:r>
      <w:r w:rsidR="00C62A8B" w:rsidRPr="00F346AC">
        <w:rPr>
          <w:rFonts w:ascii="Verdana" w:hAnsi="Verdana" w:cs="Verdana"/>
          <w:sz w:val="20"/>
          <w:szCs w:val="20"/>
        </w:rPr>
        <w:t>wo</w:t>
      </w:r>
      <w:r w:rsidR="00903DCF" w:rsidRPr="00F346AC">
        <w:rPr>
          <w:rFonts w:ascii="Verdana" w:hAnsi="Verdana" w:cs="Verdana"/>
          <w:sz w:val="20"/>
          <w:szCs w:val="20"/>
        </w:rPr>
        <w:t xml:space="preserve"> examples of how this might have occurred</w:t>
      </w:r>
      <w:r w:rsidR="00C62A8B" w:rsidRPr="00F346AC">
        <w:rPr>
          <w:rFonts w:ascii="Verdana" w:hAnsi="Verdana" w:cs="Verdana"/>
          <w:sz w:val="20"/>
          <w:szCs w:val="20"/>
        </w:rPr>
        <w:t xml:space="preserve"> and explain what can be done to improve matters</w:t>
      </w:r>
      <w:r w:rsidR="00903DCF" w:rsidRPr="00F346AC">
        <w:rPr>
          <w:rFonts w:ascii="Verdana" w:hAnsi="Verdana" w:cs="Verdana"/>
          <w:sz w:val="20"/>
          <w:szCs w:val="20"/>
        </w:rPr>
        <w:t xml:space="preserve">. </w:t>
      </w:r>
      <w:r w:rsidR="00C62A8B" w:rsidRPr="00F346AC">
        <w:rPr>
          <w:rFonts w:ascii="Verdana" w:hAnsi="Verdana" w:cs="Verdana"/>
          <w:sz w:val="20"/>
          <w:szCs w:val="20"/>
        </w:rPr>
        <w:t>It should also be noted that t</w:t>
      </w:r>
      <w:r w:rsidR="00903DCF" w:rsidRPr="00F346AC">
        <w:rPr>
          <w:rFonts w:ascii="Verdana" w:hAnsi="Verdana" w:cs="Verdana"/>
          <w:sz w:val="20"/>
          <w:szCs w:val="20"/>
        </w:rPr>
        <w:t>his same lack of good policy and intervention may also have rendered Greek voters complacent.</w:t>
      </w:r>
    </w:p>
    <w:p w:rsidR="0032495C" w:rsidRPr="00F346AC" w:rsidRDefault="0032495C" w:rsidP="00903DCF">
      <w:pPr>
        <w:jc w:val="both"/>
        <w:rPr>
          <w:rFonts w:ascii="Verdana" w:hAnsi="Verdana" w:cs="Verdana"/>
          <w:sz w:val="20"/>
          <w:szCs w:val="20"/>
        </w:rPr>
      </w:pPr>
      <w:r>
        <w:rPr>
          <w:rFonts w:ascii="Verdana,Bold" w:hAnsi="Verdana,Bold" w:cs="Verdana,Bold"/>
          <w:b/>
          <w:bCs/>
          <w:color w:val="000080"/>
          <w:sz w:val="24"/>
          <w:szCs w:val="24"/>
        </w:rPr>
        <w:t xml:space="preserve">2.3 Better Surveillance is </w:t>
      </w:r>
      <w:r w:rsidR="00D879A1">
        <w:rPr>
          <w:rFonts w:ascii="Verdana,Bold" w:hAnsi="Verdana,Bold" w:cs="Verdana,Bold"/>
          <w:b/>
          <w:bCs/>
          <w:color w:val="000080"/>
          <w:sz w:val="24"/>
          <w:szCs w:val="24"/>
        </w:rPr>
        <w:t>n</w:t>
      </w:r>
      <w:r>
        <w:rPr>
          <w:rFonts w:ascii="Verdana,Bold" w:hAnsi="Verdana,Bold" w:cs="Verdana,Bold"/>
          <w:b/>
          <w:bCs/>
          <w:color w:val="000080"/>
          <w:sz w:val="24"/>
          <w:szCs w:val="24"/>
        </w:rPr>
        <w:t>eeded</w:t>
      </w:r>
    </w:p>
    <w:p w:rsidR="00517C5B" w:rsidRPr="00F346AC" w:rsidRDefault="00517C5B" w:rsidP="00903DCF">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First, markets lacked the data to make informed judgements. Greece has consistently been responsible for </w:t>
      </w:r>
      <w:r w:rsidR="00903DCF" w:rsidRPr="00F346AC">
        <w:rPr>
          <w:rFonts w:ascii="Verdana" w:hAnsi="Verdana" w:cs="Verdana"/>
          <w:sz w:val="20"/>
          <w:szCs w:val="20"/>
        </w:rPr>
        <w:t>wildly inaccurate fiscal data: the market may have thought that the situation was less dire than it actually was. One way to remedy might be to appoint</w:t>
      </w:r>
      <w:r w:rsidRPr="00F346AC">
        <w:rPr>
          <w:rFonts w:ascii="Verdana" w:hAnsi="Verdana" w:cs="Verdana"/>
          <w:sz w:val="20"/>
          <w:szCs w:val="20"/>
        </w:rPr>
        <w:t xml:space="preserve"> an independent committee of experts that would audit the fiscal accounts and plans of each member state.</w:t>
      </w:r>
      <w:r w:rsidRPr="00F346AC">
        <w:rPr>
          <w:rStyle w:val="FootnoteReference"/>
          <w:rFonts w:ascii="Verdana" w:hAnsi="Verdana" w:cs="Verdana"/>
          <w:sz w:val="20"/>
          <w:szCs w:val="20"/>
        </w:rPr>
        <w:footnoteReference w:id="2"/>
      </w:r>
      <w:r w:rsidRPr="00F346AC">
        <w:rPr>
          <w:rFonts w:ascii="Verdana" w:hAnsi="Verdana" w:cs="Verdana"/>
          <w:sz w:val="20"/>
          <w:szCs w:val="20"/>
        </w:rPr>
        <w:t xml:space="preserve"> </w:t>
      </w:r>
    </w:p>
    <w:p w:rsidR="00517C5B" w:rsidRDefault="00517C5B" w:rsidP="00903DCF">
      <w:pPr>
        <w:jc w:val="both"/>
        <w:rPr>
          <w:rFonts w:ascii="Verdana" w:hAnsi="Verdana" w:cs="Verdana"/>
          <w:sz w:val="20"/>
          <w:szCs w:val="20"/>
        </w:rPr>
      </w:pPr>
      <w:r w:rsidRPr="00F346AC">
        <w:rPr>
          <w:rFonts w:ascii="Verdana" w:hAnsi="Verdana" w:cs="Verdana"/>
          <w:sz w:val="20"/>
          <w:szCs w:val="20"/>
        </w:rPr>
        <w:t>Second, the complacency of policy makers</w:t>
      </w:r>
      <w:r w:rsidR="00903DCF" w:rsidRPr="00F346AC">
        <w:rPr>
          <w:rFonts w:ascii="Verdana" w:hAnsi="Verdana" w:cs="Verdana"/>
          <w:sz w:val="20"/>
          <w:szCs w:val="20"/>
        </w:rPr>
        <w:t>, who may have been perceived as being better informed,</w:t>
      </w:r>
      <w:r w:rsidRPr="00F346AC">
        <w:rPr>
          <w:rFonts w:ascii="Verdana" w:hAnsi="Verdana" w:cs="Verdana"/>
          <w:sz w:val="20"/>
          <w:szCs w:val="20"/>
        </w:rPr>
        <w:t xml:space="preserve"> may have</w:t>
      </w:r>
      <w:r w:rsidR="00903DCF" w:rsidRPr="00F346AC">
        <w:rPr>
          <w:rFonts w:ascii="Verdana" w:hAnsi="Verdana" w:cs="Verdana"/>
          <w:sz w:val="20"/>
          <w:szCs w:val="20"/>
        </w:rPr>
        <w:t xml:space="preserve"> led</w:t>
      </w:r>
      <w:r w:rsidRPr="00F346AC">
        <w:rPr>
          <w:rFonts w:ascii="Verdana" w:hAnsi="Verdana" w:cs="Verdana"/>
          <w:sz w:val="20"/>
          <w:szCs w:val="20"/>
        </w:rPr>
        <w:t xml:space="preserve"> markets to think that things were less serious than they were. </w:t>
      </w:r>
      <w:r w:rsidR="00787653" w:rsidRPr="00F346AC">
        <w:rPr>
          <w:rFonts w:ascii="Verdana" w:hAnsi="Verdana" w:cs="Verdana"/>
          <w:sz w:val="20"/>
          <w:szCs w:val="20"/>
        </w:rPr>
        <w:t>Euro area policy makers</w:t>
      </w:r>
      <w:r w:rsidR="00903DCF" w:rsidRPr="00F346AC">
        <w:rPr>
          <w:rFonts w:ascii="Verdana" w:hAnsi="Verdana" w:cs="Verdana"/>
          <w:sz w:val="20"/>
          <w:szCs w:val="20"/>
        </w:rPr>
        <w:t>, however,</w:t>
      </w:r>
      <w:r w:rsidR="00787653" w:rsidRPr="00F346AC">
        <w:rPr>
          <w:rFonts w:ascii="Verdana" w:hAnsi="Verdana" w:cs="Verdana"/>
          <w:sz w:val="20"/>
          <w:szCs w:val="20"/>
        </w:rPr>
        <w:t xml:space="preserve"> were apparently</w:t>
      </w:r>
      <w:r w:rsidR="00903DCF" w:rsidRPr="00F346AC">
        <w:rPr>
          <w:rFonts w:ascii="Verdana" w:hAnsi="Verdana" w:cs="Verdana"/>
          <w:sz w:val="20"/>
          <w:szCs w:val="20"/>
        </w:rPr>
        <w:t xml:space="preserve"> </w:t>
      </w:r>
      <w:r w:rsidR="00787653" w:rsidRPr="00F346AC">
        <w:rPr>
          <w:rFonts w:ascii="Verdana" w:hAnsi="Verdana" w:cs="Verdana"/>
          <w:sz w:val="20"/>
          <w:szCs w:val="20"/>
        </w:rPr>
        <w:t>unwilling</w:t>
      </w:r>
      <w:r w:rsidR="00213D07">
        <w:rPr>
          <w:rFonts w:ascii="Verdana" w:hAnsi="Verdana" w:cs="Verdana"/>
          <w:sz w:val="20"/>
          <w:szCs w:val="20"/>
        </w:rPr>
        <w:t xml:space="preserve"> or afraid</w:t>
      </w:r>
      <w:r w:rsidR="00787653" w:rsidRPr="00F346AC">
        <w:rPr>
          <w:rFonts w:ascii="Verdana" w:hAnsi="Verdana" w:cs="Verdana"/>
          <w:sz w:val="20"/>
          <w:szCs w:val="20"/>
        </w:rPr>
        <w:t xml:space="preserve"> to speak out. The ECB blithely continued to accept Greek sovereign debt on the same terms it accepted German sovereign debt: there was no additional haircut for liquidity risk. Outside of the euro area, it must have been obvious to the IMF as far back as 2004 that Greece was likely headed toward disaster, but the Article IV reports are restrained. One solution to this </w:t>
      </w:r>
      <w:r w:rsidR="00CD6E9D" w:rsidRPr="00F346AC">
        <w:rPr>
          <w:rFonts w:ascii="Verdana" w:hAnsi="Verdana" w:cs="Verdana"/>
          <w:sz w:val="20"/>
          <w:szCs w:val="20"/>
        </w:rPr>
        <w:t xml:space="preserve">problem </w:t>
      </w:r>
      <w:r w:rsidR="00787653" w:rsidRPr="00F346AC">
        <w:rPr>
          <w:rFonts w:ascii="Verdana" w:hAnsi="Verdana" w:cs="Verdana"/>
          <w:sz w:val="20"/>
          <w:szCs w:val="20"/>
        </w:rPr>
        <w:t xml:space="preserve">would be the creation of an independent fiscal council </w:t>
      </w:r>
      <w:r w:rsidR="00CD6E9D" w:rsidRPr="00F346AC">
        <w:rPr>
          <w:rFonts w:ascii="Verdana" w:hAnsi="Verdana" w:cs="Verdana"/>
          <w:sz w:val="20"/>
          <w:szCs w:val="20"/>
        </w:rPr>
        <w:t>that would allow</w:t>
      </w:r>
      <w:r w:rsidR="00787653" w:rsidRPr="00F346AC">
        <w:rPr>
          <w:rFonts w:ascii="Verdana" w:hAnsi="Verdana" w:cs="Verdana"/>
          <w:sz w:val="20"/>
          <w:szCs w:val="20"/>
        </w:rPr>
        <w:t xml:space="preserve"> a non-political expert evaluation of national budgetary plans.</w:t>
      </w:r>
      <w:r w:rsidR="00787653" w:rsidRPr="00F346AC">
        <w:rPr>
          <w:rStyle w:val="FootnoteReference"/>
          <w:rFonts w:ascii="Verdana" w:hAnsi="Verdana" w:cs="Verdana"/>
          <w:sz w:val="20"/>
          <w:szCs w:val="20"/>
        </w:rPr>
        <w:footnoteReference w:id="3"/>
      </w:r>
      <w:r w:rsidR="00787653" w:rsidRPr="00F346AC">
        <w:rPr>
          <w:rFonts w:ascii="Verdana" w:hAnsi="Verdana" w:cs="Verdana"/>
          <w:sz w:val="20"/>
          <w:szCs w:val="20"/>
        </w:rPr>
        <w:t xml:space="preserve"> </w:t>
      </w:r>
      <w:r w:rsidR="00213D07">
        <w:rPr>
          <w:rFonts w:ascii="Verdana" w:hAnsi="Verdana" w:cs="Verdana"/>
          <w:sz w:val="20"/>
          <w:szCs w:val="20"/>
        </w:rPr>
        <w:t>Perhaps Article IV reports should not have to be approved by the IMF Board. Academic</w:t>
      </w:r>
      <w:r w:rsidR="00787653" w:rsidRPr="00F346AC">
        <w:rPr>
          <w:rFonts w:ascii="Verdana" w:hAnsi="Verdana" w:cs="Verdana"/>
          <w:sz w:val="20"/>
          <w:szCs w:val="20"/>
        </w:rPr>
        <w:t xml:space="preserve"> economists – who rarely feel constrained in saying what they </w:t>
      </w:r>
      <w:r w:rsidR="00213D07">
        <w:rPr>
          <w:rFonts w:ascii="Verdana" w:hAnsi="Verdana" w:cs="Verdana"/>
          <w:sz w:val="20"/>
          <w:szCs w:val="20"/>
        </w:rPr>
        <w:t>think</w:t>
      </w:r>
      <w:r w:rsidR="00787653" w:rsidRPr="00F346AC">
        <w:rPr>
          <w:rFonts w:ascii="Verdana" w:hAnsi="Verdana" w:cs="Verdana"/>
          <w:sz w:val="20"/>
          <w:szCs w:val="20"/>
        </w:rPr>
        <w:t xml:space="preserve"> – </w:t>
      </w:r>
      <w:r w:rsidR="00213D07">
        <w:rPr>
          <w:rFonts w:ascii="Verdana" w:hAnsi="Verdana" w:cs="Verdana"/>
          <w:sz w:val="20"/>
          <w:szCs w:val="20"/>
        </w:rPr>
        <w:t xml:space="preserve">might be rewarded </w:t>
      </w:r>
      <w:r w:rsidR="00787653" w:rsidRPr="00F346AC">
        <w:rPr>
          <w:rFonts w:ascii="Verdana" w:hAnsi="Verdana" w:cs="Verdana"/>
          <w:sz w:val="20"/>
          <w:szCs w:val="20"/>
        </w:rPr>
        <w:t xml:space="preserve">less for doing </w:t>
      </w:r>
      <w:r w:rsidR="00213D07">
        <w:rPr>
          <w:rFonts w:ascii="Verdana" w:hAnsi="Verdana" w:cs="Verdana"/>
          <w:sz w:val="20"/>
          <w:szCs w:val="20"/>
        </w:rPr>
        <w:t xml:space="preserve">blue sky </w:t>
      </w:r>
      <w:r w:rsidR="00787653" w:rsidRPr="00F346AC">
        <w:rPr>
          <w:rFonts w:ascii="Verdana" w:hAnsi="Verdana" w:cs="Verdana"/>
          <w:sz w:val="20"/>
          <w:szCs w:val="20"/>
        </w:rPr>
        <w:t>research and more for doing policy analysis.</w:t>
      </w:r>
    </w:p>
    <w:p w:rsidR="0032495C" w:rsidRPr="00F346AC" w:rsidRDefault="0032495C" w:rsidP="00903DCF">
      <w:pPr>
        <w:jc w:val="both"/>
        <w:rPr>
          <w:rFonts w:ascii="Verdana" w:hAnsi="Verdana" w:cs="Verdana"/>
          <w:sz w:val="20"/>
          <w:szCs w:val="20"/>
        </w:rPr>
      </w:pPr>
      <w:r>
        <w:rPr>
          <w:rFonts w:ascii="Verdana,Bold" w:hAnsi="Verdana,Bold" w:cs="Verdana,Bold"/>
          <w:b/>
          <w:bCs/>
          <w:color w:val="000080"/>
          <w:sz w:val="24"/>
          <w:szCs w:val="24"/>
        </w:rPr>
        <w:lastRenderedPageBreak/>
        <w:t>2.4 It should be more Costly for Governments to Follow Bad Fiscal Policies</w:t>
      </w:r>
    </w:p>
    <w:p w:rsidR="00720A3F" w:rsidRPr="00F346AC" w:rsidRDefault="00787653" w:rsidP="00903DCF">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If euro area policy </w:t>
      </w:r>
      <w:r w:rsidR="009B03F4" w:rsidRPr="00F346AC">
        <w:rPr>
          <w:rFonts w:ascii="Verdana" w:hAnsi="Verdana" w:cs="Verdana"/>
          <w:sz w:val="20"/>
          <w:szCs w:val="20"/>
        </w:rPr>
        <w:t xml:space="preserve">makers cannot be </w:t>
      </w:r>
      <w:r w:rsidR="009B03F4" w:rsidRPr="00F346AC">
        <w:rPr>
          <w:rFonts w:ascii="Verdana" w:hAnsi="Verdana" w:cs="Verdana"/>
          <w:i/>
          <w:sz w:val="20"/>
          <w:szCs w:val="20"/>
        </w:rPr>
        <w:t>forced</w:t>
      </w:r>
      <w:r w:rsidR="009B03F4" w:rsidRPr="00F346AC">
        <w:rPr>
          <w:rFonts w:ascii="Verdana" w:hAnsi="Verdana" w:cs="Verdana"/>
          <w:sz w:val="20"/>
          <w:szCs w:val="20"/>
        </w:rPr>
        <w:t xml:space="preserve"> to follow a fiscal policy that is likely to be sustainable, th</w:t>
      </w:r>
      <w:r w:rsidR="00FE7F56" w:rsidRPr="00F346AC">
        <w:rPr>
          <w:rFonts w:ascii="Verdana" w:hAnsi="Verdana" w:cs="Verdana"/>
          <w:sz w:val="20"/>
          <w:szCs w:val="20"/>
        </w:rPr>
        <w:t>e</w:t>
      </w:r>
      <w:r w:rsidR="009B03F4" w:rsidRPr="00F346AC">
        <w:rPr>
          <w:rFonts w:ascii="Verdana" w:hAnsi="Verdana" w:cs="Verdana"/>
          <w:sz w:val="20"/>
          <w:szCs w:val="20"/>
        </w:rPr>
        <w:t xml:space="preserve">n it should be made in their best interests to do so. </w:t>
      </w:r>
      <w:r w:rsidR="004E12A6" w:rsidRPr="00F346AC">
        <w:rPr>
          <w:rFonts w:ascii="Verdana" w:hAnsi="Verdana" w:cs="Verdana"/>
          <w:sz w:val="20"/>
          <w:szCs w:val="20"/>
        </w:rPr>
        <w:t xml:space="preserve">As previously noted, the EFSM and EFSF </w:t>
      </w:r>
      <w:r w:rsidR="002618F0">
        <w:rPr>
          <w:rFonts w:ascii="Verdana" w:hAnsi="Verdana" w:cs="Verdana"/>
          <w:sz w:val="20"/>
          <w:szCs w:val="20"/>
        </w:rPr>
        <w:t>will make no new loans after</w:t>
      </w:r>
      <w:r w:rsidR="004E12A6" w:rsidRPr="00F346AC">
        <w:rPr>
          <w:rFonts w:ascii="Verdana" w:hAnsi="Verdana" w:cs="Verdana"/>
          <w:sz w:val="20"/>
          <w:szCs w:val="20"/>
        </w:rPr>
        <w:t xml:space="preserve"> three years. This is probably a good thing. </w:t>
      </w:r>
      <w:r w:rsidR="00AB28A1" w:rsidRPr="00F346AC">
        <w:rPr>
          <w:rFonts w:ascii="Verdana" w:hAnsi="Verdana" w:cs="Verdana"/>
          <w:sz w:val="20"/>
          <w:szCs w:val="20"/>
        </w:rPr>
        <w:t xml:space="preserve">The problem in the Euro area is that too many countries have borrowed too much. Facilities that allow them to borrow more at attractive rates are not the long-run solution to the problem. </w:t>
      </w:r>
      <w:r w:rsidR="004E12A6" w:rsidRPr="00F346AC">
        <w:rPr>
          <w:rFonts w:ascii="Verdana" w:hAnsi="Verdana" w:cs="Verdana"/>
          <w:sz w:val="20"/>
          <w:szCs w:val="20"/>
        </w:rPr>
        <w:t>Indeed, the permanent existence of such facilities creates a serious moral hazard problem</w:t>
      </w:r>
      <w:r w:rsidR="009309B8" w:rsidRPr="00F346AC">
        <w:rPr>
          <w:rFonts w:ascii="Verdana" w:hAnsi="Verdana" w:cs="Verdana"/>
          <w:sz w:val="20"/>
          <w:szCs w:val="20"/>
        </w:rPr>
        <w:t xml:space="preserve"> by lowering the risk to a sovereign of following a fiscal policy that might prove to be unsustainable</w:t>
      </w:r>
      <w:r w:rsidR="004E12A6" w:rsidRPr="00F346AC">
        <w:rPr>
          <w:rFonts w:ascii="Verdana" w:hAnsi="Verdana" w:cs="Verdana"/>
          <w:sz w:val="20"/>
          <w:szCs w:val="20"/>
        </w:rPr>
        <w:t xml:space="preserve">. </w:t>
      </w:r>
    </w:p>
    <w:p w:rsidR="003D58A3" w:rsidRPr="00F346AC" w:rsidRDefault="009309B8" w:rsidP="00903DCF">
      <w:pPr>
        <w:jc w:val="both"/>
        <w:rPr>
          <w:rFonts w:ascii="Verdana" w:hAnsi="Verdana"/>
          <w:sz w:val="20"/>
          <w:szCs w:val="20"/>
        </w:rPr>
      </w:pPr>
      <w:r w:rsidRPr="00F346AC">
        <w:rPr>
          <w:rFonts w:ascii="Verdana" w:hAnsi="Verdana" w:cs="Verdana"/>
          <w:sz w:val="20"/>
          <w:szCs w:val="20"/>
        </w:rPr>
        <w:t xml:space="preserve">A usual counterargument is that such facilities protect countries that would be solvent if it were not for contagion. In the current crisis there exists a possibility that a Greek default might make a runs on countries that have similar features to Greece – Ireland, Italy, Portugal and Spain – focal. </w:t>
      </w:r>
      <w:r w:rsidR="003D58A3" w:rsidRPr="00F346AC">
        <w:rPr>
          <w:rFonts w:ascii="Verdana" w:hAnsi="Verdana" w:cs="Verdana"/>
          <w:sz w:val="20"/>
          <w:szCs w:val="20"/>
        </w:rPr>
        <w:t xml:space="preserve">The existence of lending facilities lowers the </w:t>
      </w:r>
      <w:r w:rsidR="00C47ABE" w:rsidRPr="00F346AC">
        <w:rPr>
          <w:rFonts w:ascii="Verdana" w:hAnsi="Verdana" w:cs="Verdana"/>
          <w:sz w:val="20"/>
          <w:szCs w:val="20"/>
        </w:rPr>
        <w:t>cost</w:t>
      </w:r>
      <w:r w:rsidR="003D58A3" w:rsidRPr="00F346AC">
        <w:rPr>
          <w:rFonts w:ascii="Verdana" w:hAnsi="Verdana" w:cs="Verdana"/>
          <w:sz w:val="20"/>
          <w:szCs w:val="20"/>
        </w:rPr>
        <w:t xml:space="preserve"> of looking like Greece. </w:t>
      </w:r>
      <w:r w:rsidR="005B4F41">
        <w:rPr>
          <w:rFonts w:ascii="Verdana" w:hAnsi="Verdana" w:cs="Verdana"/>
          <w:sz w:val="20"/>
          <w:szCs w:val="20"/>
        </w:rPr>
        <w:t>However, t</w:t>
      </w:r>
      <w:r w:rsidR="00C47ABE" w:rsidRPr="00F346AC">
        <w:rPr>
          <w:rFonts w:ascii="Verdana" w:hAnsi="Verdana"/>
          <w:sz w:val="20"/>
          <w:szCs w:val="20"/>
        </w:rPr>
        <w:t xml:space="preserve">heir absence </w:t>
      </w:r>
      <w:r w:rsidR="005B4F41">
        <w:rPr>
          <w:rFonts w:ascii="Verdana" w:hAnsi="Verdana"/>
          <w:sz w:val="20"/>
          <w:szCs w:val="20"/>
        </w:rPr>
        <w:t xml:space="preserve">would </w:t>
      </w:r>
      <w:r w:rsidR="00C47ABE" w:rsidRPr="00F346AC">
        <w:rPr>
          <w:rFonts w:ascii="Verdana" w:hAnsi="Verdana"/>
          <w:sz w:val="20"/>
          <w:szCs w:val="20"/>
        </w:rPr>
        <w:t>lower the likelihood of a country following a rash fiscal policy</w:t>
      </w:r>
      <w:r w:rsidR="003D58A3" w:rsidRPr="00F346AC">
        <w:rPr>
          <w:rFonts w:ascii="Verdana" w:hAnsi="Verdana"/>
          <w:sz w:val="20"/>
          <w:szCs w:val="20"/>
        </w:rPr>
        <w:t xml:space="preserve">: </w:t>
      </w:r>
      <w:r w:rsidR="00C47ABE" w:rsidRPr="00F346AC">
        <w:rPr>
          <w:rFonts w:ascii="Verdana" w:hAnsi="Verdana"/>
          <w:sz w:val="20"/>
          <w:szCs w:val="20"/>
        </w:rPr>
        <w:t>t</w:t>
      </w:r>
      <w:r w:rsidR="003D58A3" w:rsidRPr="00F346AC">
        <w:rPr>
          <w:rFonts w:ascii="Verdana" w:hAnsi="Verdana"/>
          <w:sz w:val="20"/>
          <w:szCs w:val="20"/>
        </w:rPr>
        <w:t xml:space="preserve">he possibility of runs on the debt of countries that look like Greece may be a valuable commitment device for countries </w:t>
      </w:r>
      <w:r w:rsidR="005B4F41">
        <w:rPr>
          <w:rFonts w:ascii="Verdana" w:hAnsi="Verdana"/>
          <w:sz w:val="20"/>
          <w:szCs w:val="20"/>
        </w:rPr>
        <w:t>that choose not to</w:t>
      </w:r>
      <w:r w:rsidR="003D58A3" w:rsidRPr="00F346AC">
        <w:rPr>
          <w:rFonts w:ascii="Verdana" w:hAnsi="Verdana"/>
          <w:sz w:val="20"/>
          <w:szCs w:val="20"/>
        </w:rPr>
        <w:t xml:space="preserve"> look like Greece.</w:t>
      </w:r>
    </w:p>
    <w:p w:rsidR="00C62A8B" w:rsidRDefault="00C62A8B" w:rsidP="00C62A8B">
      <w:pPr>
        <w:jc w:val="both"/>
        <w:rPr>
          <w:rFonts w:ascii="Verdana" w:hAnsi="Verdana" w:cs="Verdana"/>
          <w:sz w:val="20"/>
          <w:szCs w:val="20"/>
        </w:rPr>
      </w:pPr>
      <w:r w:rsidRPr="00F346AC">
        <w:rPr>
          <w:rFonts w:ascii="Verdana" w:hAnsi="Verdana" w:cs="Verdana"/>
          <w:sz w:val="20"/>
          <w:szCs w:val="20"/>
        </w:rPr>
        <w:t xml:space="preserve">In addition to expected bailouts increasing the likelihood of default, they may be another reason that markets did not react to the ballooning Greek debt. Many traders must have possessed a (not entirely irrational) belief that Greece would be rescued. </w:t>
      </w:r>
    </w:p>
    <w:p w:rsidR="0032495C" w:rsidRPr="00F346AC" w:rsidRDefault="0032495C" w:rsidP="00C62A8B">
      <w:pPr>
        <w:jc w:val="both"/>
        <w:rPr>
          <w:rFonts w:ascii="Verdana" w:hAnsi="Verdana" w:cs="Verdana"/>
          <w:sz w:val="20"/>
          <w:szCs w:val="20"/>
        </w:rPr>
      </w:pPr>
      <w:r>
        <w:rPr>
          <w:rFonts w:ascii="Verdana,Bold" w:hAnsi="Verdana,Bold" w:cs="Verdana,Bold"/>
          <w:b/>
          <w:bCs/>
          <w:color w:val="000080"/>
          <w:sz w:val="24"/>
          <w:szCs w:val="24"/>
        </w:rPr>
        <w:t>2.5 Make Sovereign Defaults less Costly</w:t>
      </w:r>
    </w:p>
    <w:p w:rsidR="00FE7F56" w:rsidRPr="00F346AC" w:rsidRDefault="00C62A8B" w:rsidP="00903DCF">
      <w:pPr>
        <w:autoSpaceDE w:val="0"/>
        <w:autoSpaceDN w:val="0"/>
        <w:adjustRightInd w:val="0"/>
        <w:jc w:val="both"/>
        <w:rPr>
          <w:rFonts w:ascii="Verdana" w:hAnsi="Verdana" w:cs="Verdana"/>
          <w:sz w:val="20"/>
          <w:szCs w:val="20"/>
        </w:rPr>
      </w:pPr>
      <w:r w:rsidRPr="00F346AC">
        <w:rPr>
          <w:rFonts w:ascii="Verdana" w:hAnsi="Verdana" w:cs="Verdana"/>
          <w:sz w:val="20"/>
          <w:szCs w:val="20"/>
        </w:rPr>
        <w:t xml:space="preserve">Sovereign defaults are </w:t>
      </w:r>
      <w:r w:rsidR="000F581A">
        <w:rPr>
          <w:rFonts w:ascii="Verdana" w:hAnsi="Verdana" w:cs="Verdana"/>
          <w:sz w:val="20"/>
          <w:szCs w:val="20"/>
        </w:rPr>
        <w:t>possible</w:t>
      </w:r>
      <w:r w:rsidRPr="00F346AC">
        <w:rPr>
          <w:rFonts w:ascii="Verdana" w:hAnsi="Verdana" w:cs="Verdana"/>
          <w:sz w:val="20"/>
          <w:szCs w:val="20"/>
        </w:rPr>
        <w:t xml:space="preserve">, even when policies are sound. Thus, </w:t>
      </w:r>
      <w:r w:rsidR="002143C2" w:rsidRPr="00F346AC">
        <w:rPr>
          <w:rFonts w:ascii="Verdana" w:hAnsi="Verdana" w:cs="Verdana"/>
          <w:sz w:val="20"/>
          <w:szCs w:val="20"/>
        </w:rPr>
        <w:t>euro area</w:t>
      </w:r>
      <w:r w:rsidR="00FE7F56" w:rsidRPr="00F346AC">
        <w:rPr>
          <w:rFonts w:ascii="Verdana" w:hAnsi="Verdana" w:cs="Verdana"/>
          <w:sz w:val="20"/>
          <w:szCs w:val="20"/>
        </w:rPr>
        <w:t xml:space="preserve"> policy makers should take steps to ensure that the </w:t>
      </w:r>
      <w:r w:rsidR="002143C2" w:rsidRPr="00F346AC">
        <w:rPr>
          <w:rFonts w:ascii="Verdana" w:hAnsi="Verdana" w:cs="Verdana"/>
          <w:sz w:val="20"/>
          <w:szCs w:val="20"/>
        </w:rPr>
        <w:t>e</w:t>
      </w:r>
      <w:r w:rsidR="00FE7F56" w:rsidRPr="00F346AC">
        <w:rPr>
          <w:rFonts w:ascii="Verdana" w:hAnsi="Verdana" w:cs="Verdana"/>
          <w:sz w:val="20"/>
          <w:szCs w:val="20"/>
        </w:rPr>
        <w:t xml:space="preserve">uro area financial system is less vulnerable to sovereign defaults. </w:t>
      </w:r>
      <w:r w:rsidR="002143C2" w:rsidRPr="00F346AC">
        <w:rPr>
          <w:rFonts w:ascii="Verdana" w:hAnsi="Verdana" w:cs="Verdana"/>
          <w:sz w:val="20"/>
          <w:szCs w:val="20"/>
        </w:rPr>
        <w:t>The likely reason that a Greek default is seen as so costly is the heavy exposure of some euro area countries’ banking systems to Greek debt. The Greek debt crisis may be – to a great extent – a German and French banking crisis in disguise. The solution to this is better supervision and regulation of national banking systems.</w:t>
      </w:r>
    </w:p>
    <w:p w:rsidR="00720A3F" w:rsidRPr="00F346AC" w:rsidRDefault="00720A3F" w:rsidP="00903DCF">
      <w:pPr>
        <w:autoSpaceDE w:val="0"/>
        <w:autoSpaceDN w:val="0"/>
        <w:adjustRightInd w:val="0"/>
        <w:jc w:val="both"/>
        <w:rPr>
          <w:rFonts w:ascii="Verdana" w:hAnsi="Verdana" w:cs="Verdana"/>
          <w:sz w:val="20"/>
          <w:szCs w:val="20"/>
        </w:rPr>
      </w:pPr>
    </w:p>
    <w:p w:rsidR="00720A3F" w:rsidRPr="00F346AC" w:rsidRDefault="00720A3F" w:rsidP="00903DCF">
      <w:pPr>
        <w:autoSpaceDE w:val="0"/>
        <w:autoSpaceDN w:val="0"/>
        <w:adjustRightInd w:val="0"/>
        <w:jc w:val="both"/>
        <w:rPr>
          <w:rFonts w:ascii="Verdana" w:hAnsi="Verdana" w:cs="Verdana"/>
          <w:sz w:val="20"/>
          <w:szCs w:val="20"/>
        </w:rPr>
      </w:pPr>
    </w:p>
    <w:p w:rsidR="00720A3F" w:rsidRPr="00F346AC" w:rsidRDefault="00720A3F" w:rsidP="00903DCF">
      <w:pPr>
        <w:autoSpaceDE w:val="0"/>
        <w:autoSpaceDN w:val="0"/>
        <w:adjustRightInd w:val="0"/>
        <w:jc w:val="both"/>
        <w:rPr>
          <w:rFonts w:ascii="Verdana" w:hAnsi="Verdana" w:cs="Verdana"/>
          <w:sz w:val="20"/>
          <w:szCs w:val="20"/>
        </w:rPr>
      </w:pPr>
    </w:p>
    <w:p w:rsidR="00720A3F" w:rsidRPr="00F346AC" w:rsidRDefault="00720A3F" w:rsidP="00903DCF">
      <w:pPr>
        <w:autoSpaceDE w:val="0"/>
        <w:autoSpaceDN w:val="0"/>
        <w:adjustRightInd w:val="0"/>
        <w:jc w:val="both"/>
        <w:rPr>
          <w:rFonts w:ascii="Verdana" w:hAnsi="Verdana" w:cs="Verdana"/>
          <w:sz w:val="20"/>
          <w:szCs w:val="20"/>
        </w:rPr>
      </w:pPr>
    </w:p>
    <w:p w:rsidR="00720A3F" w:rsidRPr="00F346AC" w:rsidRDefault="00720A3F" w:rsidP="00903DCF">
      <w:pPr>
        <w:autoSpaceDE w:val="0"/>
        <w:autoSpaceDN w:val="0"/>
        <w:adjustRightInd w:val="0"/>
        <w:jc w:val="both"/>
        <w:rPr>
          <w:rFonts w:ascii="Verdana" w:hAnsi="Verdana" w:cs="Verdana"/>
          <w:sz w:val="20"/>
          <w:szCs w:val="20"/>
        </w:rPr>
      </w:pPr>
    </w:p>
    <w:sectPr w:rsidR="00720A3F" w:rsidRPr="00F346AC" w:rsidSect="0064662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9F" w:rsidRDefault="008F539F" w:rsidP="00222C41">
      <w:pPr>
        <w:spacing w:after="0" w:line="240" w:lineRule="auto"/>
      </w:pPr>
      <w:r>
        <w:separator/>
      </w:r>
    </w:p>
  </w:endnote>
  <w:endnote w:type="continuationSeparator" w:id="0">
    <w:p w:rsidR="008F539F" w:rsidRDefault="008F539F" w:rsidP="0022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imesNewRomanWG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08019"/>
      <w:docPartObj>
        <w:docPartGallery w:val="Page Numbers (Bottom of Page)"/>
        <w:docPartUnique/>
      </w:docPartObj>
    </w:sdtPr>
    <w:sdtEndPr/>
    <w:sdtContent>
      <w:p w:rsidR="00251665" w:rsidRDefault="00135F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1665" w:rsidRDefault="0025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9F" w:rsidRDefault="008F539F" w:rsidP="00222C41">
      <w:pPr>
        <w:spacing w:after="0" w:line="240" w:lineRule="auto"/>
      </w:pPr>
      <w:r>
        <w:separator/>
      </w:r>
    </w:p>
  </w:footnote>
  <w:footnote w:type="continuationSeparator" w:id="0">
    <w:p w:rsidR="008F539F" w:rsidRDefault="008F539F" w:rsidP="00222C41">
      <w:pPr>
        <w:spacing w:after="0" w:line="240" w:lineRule="auto"/>
      </w:pPr>
      <w:r>
        <w:continuationSeparator/>
      </w:r>
    </w:p>
  </w:footnote>
  <w:footnote w:id="1">
    <w:p w:rsidR="00251665" w:rsidRPr="00350123" w:rsidRDefault="00251665" w:rsidP="004122AC">
      <w:pPr>
        <w:pStyle w:val="FootnoteText"/>
        <w:jc w:val="both"/>
      </w:pPr>
      <w:r>
        <w:rPr>
          <w:rStyle w:val="FootnoteReference"/>
        </w:rPr>
        <w:footnoteRef/>
      </w:r>
      <w:r>
        <w:t xml:space="preserve"> </w:t>
      </w:r>
      <w:r w:rsidR="004122AC" w:rsidRPr="004122AC">
        <w:rPr>
          <w:rFonts w:ascii="Verdana" w:hAnsi="Verdana"/>
        </w:rPr>
        <w:t xml:space="preserve">See, for example, </w:t>
      </w:r>
      <w:r w:rsidR="004122AC" w:rsidRPr="004122AC">
        <w:rPr>
          <w:rFonts w:ascii="Verdana" w:hAnsi="Verdana"/>
          <w:bCs/>
        </w:rPr>
        <w:t xml:space="preserve">Communication from the Commission to the European Parliament, the European Council, the Council, the European Central Bank, the Economic and Social Committee and the Committee of the Region, </w:t>
      </w:r>
      <w:r w:rsidRPr="004122AC">
        <w:rPr>
          <w:rFonts w:ascii="Verdana" w:hAnsi="Verdana"/>
          <w:bCs/>
          <w:i/>
        </w:rPr>
        <w:t>Reinforcing Economic Policy Coordination</w:t>
      </w:r>
      <w:r w:rsidRPr="004122AC">
        <w:rPr>
          <w:rFonts w:ascii="Verdana" w:hAnsi="Verdana"/>
          <w:bCs/>
        </w:rPr>
        <w:t xml:space="preserve">, Brussels, </w:t>
      </w:r>
      <w:proofErr w:type="gramStart"/>
      <w:r w:rsidRPr="004122AC">
        <w:rPr>
          <w:rFonts w:ascii="Verdana" w:hAnsi="Verdana"/>
          <w:bCs/>
        </w:rPr>
        <w:t>12</w:t>
      </w:r>
      <w:proofErr w:type="gramEnd"/>
      <w:r w:rsidRPr="004122AC">
        <w:rPr>
          <w:rFonts w:ascii="Verdana" w:hAnsi="Verdana"/>
          <w:bCs/>
        </w:rPr>
        <w:t xml:space="preserve"> May 2010.</w:t>
      </w:r>
      <w:r w:rsidRPr="00350123">
        <w:rPr>
          <w:bCs/>
        </w:rPr>
        <w:t xml:space="preserve"> </w:t>
      </w:r>
    </w:p>
  </w:footnote>
  <w:footnote w:id="2">
    <w:p w:rsidR="00251665" w:rsidRDefault="00251665" w:rsidP="0032495C">
      <w:pPr>
        <w:pStyle w:val="FootnoteText"/>
        <w:jc w:val="both"/>
      </w:pPr>
      <w:r>
        <w:rPr>
          <w:rStyle w:val="FootnoteReference"/>
        </w:rPr>
        <w:footnoteRef/>
      </w:r>
      <w:r>
        <w:t xml:space="preserve"> </w:t>
      </w:r>
      <w:r w:rsidRPr="0032495C">
        <w:rPr>
          <w:rFonts w:ascii="Verdana" w:hAnsi="Verdana"/>
        </w:rPr>
        <w:t xml:space="preserve">See </w:t>
      </w:r>
      <w:proofErr w:type="spellStart"/>
      <w:r w:rsidRPr="0032495C">
        <w:rPr>
          <w:rFonts w:ascii="Verdana" w:hAnsi="Verdana"/>
        </w:rPr>
        <w:t>Burda</w:t>
      </w:r>
      <w:proofErr w:type="spellEnd"/>
      <w:r w:rsidRPr="0032495C">
        <w:rPr>
          <w:rFonts w:ascii="Verdana" w:hAnsi="Verdana"/>
        </w:rPr>
        <w:t xml:space="preserve">, Michael and Stefan </w:t>
      </w:r>
      <w:proofErr w:type="spellStart"/>
      <w:r w:rsidRPr="0032495C">
        <w:rPr>
          <w:rFonts w:ascii="Verdana" w:hAnsi="Verdana"/>
        </w:rPr>
        <w:t>Gerlach</w:t>
      </w:r>
      <w:proofErr w:type="spellEnd"/>
      <w:r w:rsidRPr="0032495C">
        <w:rPr>
          <w:rFonts w:ascii="Verdana" w:hAnsi="Verdana"/>
        </w:rPr>
        <w:t xml:space="preserve"> (2010), “</w:t>
      </w:r>
      <w:r w:rsidRPr="0032495C">
        <w:rPr>
          <w:rFonts w:ascii="Verdana" w:hAnsi="Verdana"/>
          <w:bCs/>
        </w:rPr>
        <w:t>A Credible Stability and Growth Pact: Raising the bar for budgetary transparency,</w:t>
      </w:r>
      <w:r w:rsidRPr="0032495C">
        <w:rPr>
          <w:rFonts w:ascii="Verdana" w:hAnsi="Verdana"/>
        </w:rPr>
        <w:t xml:space="preserve">” in </w:t>
      </w:r>
      <w:r w:rsidRPr="0032495C">
        <w:rPr>
          <w:rFonts w:ascii="Verdana" w:hAnsi="Verdana"/>
          <w:bCs/>
          <w:iCs/>
        </w:rPr>
        <w:t xml:space="preserve">Baldwin Richard, Daniel </w:t>
      </w:r>
      <w:proofErr w:type="spellStart"/>
      <w:r w:rsidRPr="0032495C">
        <w:rPr>
          <w:rFonts w:ascii="Verdana" w:hAnsi="Verdana"/>
          <w:bCs/>
          <w:iCs/>
        </w:rPr>
        <w:t>Gros</w:t>
      </w:r>
      <w:proofErr w:type="spellEnd"/>
      <w:r w:rsidRPr="0032495C">
        <w:rPr>
          <w:rFonts w:ascii="Verdana" w:hAnsi="Verdana"/>
          <w:bCs/>
          <w:iCs/>
        </w:rPr>
        <w:t xml:space="preserve"> and Luc </w:t>
      </w:r>
      <w:proofErr w:type="spellStart"/>
      <w:r w:rsidRPr="0032495C">
        <w:rPr>
          <w:rFonts w:ascii="Verdana" w:hAnsi="Verdana"/>
          <w:bCs/>
          <w:iCs/>
        </w:rPr>
        <w:t>Laeven</w:t>
      </w:r>
      <w:proofErr w:type="spellEnd"/>
      <w:r w:rsidRPr="0032495C">
        <w:rPr>
          <w:rFonts w:ascii="Verdana" w:hAnsi="Verdana"/>
          <w:bCs/>
          <w:iCs/>
        </w:rPr>
        <w:t xml:space="preserve">, eds., </w:t>
      </w:r>
      <w:r w:rsidRPr="0032495C">
        <w:rPr>
          <w:rFonts w:ascii="Verdana" w:hAnsi="Verdana"/>
          <w:bCs/>
          <w:i/>
          <w:iCs/>
        </w:rPr>
        <w:t>Completing the Eurozone rescue: What more needs to be done</w:t>
      </w:r>
      <w:proofErr w:type="gramStart"/>
      <w:r w:rsidRPr="0032495C">
        <w:rPr>
          <w:rFonts w:ascii="Verdana" w:hAnsi="Verdana"/>
          <w:bCs/>
          <w:iCs/>
        </w:rPr>
        <w:t>?,</w:t>
      </w:r>
      <w:proofErr w:type="gramEnd"/>
      <w:r w:rsidRPr="0032495C">
        <w:rPr>
          <w:rFonts w:ascii="Verdana" w:hAnsi="Verdana"/>
          <w:bCs/>
          <w:iCs/>
        </w:rPr>
        <w:t xml:space="preserve"> </w:t>
      </w:r>
      <w:r w:rsidRPr="0032495C">
        <w:rPr>
          <w:rFonts w:ascii="Verdana" w:hAnsi="Verdana"/>
        </w:rPr>
        <w:t>VoxEU.org.</w:t>
      </w:r>
    </w:p>
  </w:footnote>
  <w:footnote w:id="3">
    <w:p w:rsidR="00251665" w:rsidRDefault="00251665" w:rsidP="0032495C">
      <w:pPr>
        <w:pStyle w:val="FootnoteText"/>
        <w:jc w:val="both"/>
      </w:pPr>
      <w:r>
        <w:rPr>
          <w:rStyle w:val="FootnoteReference"/>
        </w:rPr>
        <w:footnoteRef/>
      </w:r>
      <w:r>
        <w:t xml:space="preserve"> </w:t>
      </w:r>
      <w:r w:rsidRPr="0032495C">
        <w:rPr>
          <w:rFonts w:ascii="Verdana" w:hAnsi="Verdana"/>
        </w:rPr>
        <w:t xml:space="preserve">See </w:t>
      </w:r>
      <w:proofErr w:type="spellStart"/>
      <w:r w:rsidRPr="0032495C">
        <w:rPr>
          <w:rFonts w:ascii="Verdana" w:hAnsi="Verdana"/>
        </w:rPr>
        <w:t>Fatás</w:t>
      </w:r>
      <w:proofErr w:type="spellEnd"/>
      <w:r w:rsidRPr="0032495C">
        <w:rPr>
          <w:rFonts w:ascii="Verdana" w:hAnsi="Verdana"/>
        </w:rPr>
        <w:t xml:space="preserve">, Antonio, </w:t>
      </w:r>
      <w:proofErr w:type="spellStart"/>
      <w:r w:rsidRPr="0032495C">
        <w:rPr>
          <w:rFonts w:ascii="Verdana" w:hAnsi="Verdana"/>
        </w:rPr>
        <w:t>Jurgen</w:t>
      </w:r>
      <w:proofErr w:type="spellEnd"/>
      <w:r w:rsidRPr="0032495C">
        <w:rPr>
          <w:rFonts w:ascii="Verdana" w:hAnsi="Verdana"/>
        </w:rPr>
        <w:t xml:space="preserve"> von Hagen, Andrew Hughes </w:t>
      </w:r>
      <w:proofErr w:type="spellStart"/>
      <w:r w:rsidRPr="0032495C">
        <w:rPr>
          <w:rFonts w:ascii="Verdana" w:hAnsi="Verdana"/>
        </w:rPr>
        <w:t>Hallett</w:t>
      </w:r>
      <w:proofErr w:type="spellEnd"/>
      <w:r w:rsidRPr="0032495C">
        <w:rPr>
          <w:rFonts w:ascii="Verdana" w:hAnsi="Verdana"/>
        </w:rPr>
        <w:t xml:space="preserve">, Anne </w:t>
      </w:r>
      <w:proofErr w:type="spellStart"/>
      <w:proofErr w:type="gramStart"/>
      <w:r w:rsidRPr="0032495C">
        <w:rPr>
          <w:rFonts w:ascii="Verdana" w:hAnsi="Verdana"/>
        </w:rPr>
        <w:t>Sibert</w:t>
      </w:r>
      <w:proofErr w:type="spellEnd"/>
      <w:r w:rsidRPr="0032495C">
        <w:rPr>
          <w:rFonts w:ascii="Verdana" w:hAnsi="Verdana"/>
        </w:rPr>
        <w:t xml:space="preserve">  and</w:t>
      </w:r>
      <w:proofErr w:type="gramEnd"/>
      <w:r w:rsidRPr="0032495C">
        <w:rPr>
          <w:rFonts w:ascii="Verdana" w:hAnsi="Verdana"/>
        </w:rPr>
        <w:t xml:space="preserve"> Rolf R </w:t>
      </w:r>
      <w:proofErr w:type="spellStart"/>
      <w:r w:rsidRPr="0032495C">
        <w:rPr>
          <w:rFonts w:ascii="Verdana" w:hAnsi="Verdana"/>
        </w:rPr>
        <w:t>Strauch</w:t>
      </w:r>
      <w:proofErr w:type="spellEnd"/>
      <w:r w:rsidRPr="0032495C">
        <w:rPr>
          <w:rFonts w:ascii="Verdana" w:hAnsi="Verdana"/>
        </w:rPr>
        <w:t xml:space="preserve"> (2003), </w:t>
      </w:r>
      <w:r w:rsidRPr="0032495C">
        <w:rPr>
          <w:rFonts w:ascii="Verdana" w:hAnsi="Verdana"/>
          <w:i/>
        </w:rPr>
        <w:t>Stability and Growth in Europe: Towards a Better Pact</w:t>
      </w:r>
      <w:r w:rsidRPr="0032495C">
        <w:rPr>
          <w:rFonts w:ascii="Verdana" w:hAnsi="Verdana"/>
        </w:rPr>
        <w:t>, CEPR.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5673"/>
    <w:multiLevelType w:val="hybridMultilevel"/>
    <w:tmpl w:val="6EB2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95"/>
    <w:rsid w:val="00004417"/>
    <w:rsid w:val="000874CC"/>
    <w:rsid w:val="000B2ABE"/>
    <w:rsid w:val="000B3CF9"/>
    <w:rsid w:val="000C04D7"/>
    <w:rsid w:val="000F581A"/>
    <w:rsid w:val="00131533"/>
    <w:rsid w:val="00135F71"/>
    <w:rsid w:val="00141D89"/>
    <w:rsid w:val="00156DAA"/>
    <w:rsid w:val="00165737"/>
    <w:rsid w:val="001A562B"/>
    <w:rsid w:val="001B284D"/>
    <w:rsid w:val="001B2F5A"/>
    <w:rsid w:val="001C5AB3"/>
    <w:rsid w:val="001D37C7"/>
    <w:rsid w:val="001F4DC4"/>
    <w:rsid w:val="001F5BDA"/>
    <w:rsid w:val="00211F3D"/>
    <w:rsid w:val="00212BBF"/>
    <w:rsid w:val="00213D07"/>
    <w:rsid w:val="002143C2"/>
    <w:rsid w:val="00217679"/>
    <w:rsid w:val="00222C41"/>
    <w:rsid w:val="00234F97"/>
    <w:rsid w:val="00251665"/>
    <w:rsid w:val="002618F0"/>
    <w:rsid w:val="00266A60"/>
    <w:rsid w:val="002E44D4"/>
    <w:rsid w:val="002E4A8D"/>
    <w:rsid w:val="003065B5"/>
    <w:rsid w:val="0031681C"/>
    <w:rsid w:val="0032495C"/>
    <w:rsid w:val="00325522"/>
    <w:rsid w:val="00327799"/>
    <w:rsid w:val="00327D46"/>
    <w:rsid w:val="00350123"/>
    <w:rsid w:val="00385675"/>
    <w:rsid w:val="003C1891"/>
    <w:rsid w:val="003D58A3"/>
    <w:rsid w:val="003D6691"/>
    <w:rsid w:val="003F711D"/>
    <w:rsid w:val="00402DC1"/>
    <w:rsid w:val="004122AC"/>
    <w:rsid w:val="004145DB"/>
    <w:rsid w:val="004328BA"/>
    <w:rsid w:val="00452270"/>
    <w:rsid w:val="00491D65"/>
    <w:rsid w:val="004C234B"/>
    <w:rsid w:val="004E12A6"/>
    <w:rsid w:val="00500C22"/>
    <w:rsid w:val="00517C5B"/>
    <w:rsid w:val="005778C7"/>
    <w:rsid w:val="00577C54"/>
    <w:rsid w:val="005A1883"/>
    <w:rsid w:val="005A42D8"/>
    <w:rsid w:val="005B4F41"/>
    <w:rsid w:val="005E7D6C"/>
    <w:rsid w:val="00607AD3"/>
    <w:rsid w:val="00615243"/>
    <w:rsid w:val="00646623"/>
    <w:rsid w:val="006C5E1B"/>
    <w:rsid w:val="006E3372"/>
    <w:rsid w:val="00710980"/>
    <w:rsid w:val="00720A3F"/>
    <w:rsid w:val="00764A41"/>
    <w:rsid w:val="00787653"/>
    <w:rsid w:val="007A3BF0"/>
    <w:rsid w:val="007B30F3"/>
    <w:rsid w:val="007C417F"/>
    <w:rsid w:val="007D37CB"/>
    <w:rsid w:val="007E570E"/>
    <w:rsid w:val="007F23CA"/>
    <w:rsid w:val="008077B9"/>
    <w:rsid w:val="00807A59"/>
    <w:rsid w:val="00854763"/>
    <w:rsid w:val="008637DB"/>
    <w:rsid w:val="00875177"/>
    <w:rsid w:val="00876690"/>
    <w:rsid w:val="0088275A"/>
    <w:rsid w:val="00883395"/>
    <w:rsid w:val="008A5709"/>
    <w:rsid w:val="008F539F"/>
    <w:rsid w:val="00903DCF"/>
    <w:rsid w:val="009262FA"/>
    <w:rsid w:val="009309B8"/>
    <w:rsid w:val="00964DE4"/>
    <w:rsid w:val="00966FF7"/>
    <w:rsid w:val="00997ED7"/>
    <w:rsid w:val="009A0EAB"/>
    <w:rsid w:val="009B03F4"/>
    <w:rsid w:val="009C59D0"/>
    <w:rsid w:val="00A03B02"/>
    <w:rsid w:val="00A0487E"/>
    <w:rsid w:val="00A2513C"/>
    <w:rsid w:val="00A32C43"/>
    <w:rsid w:val="00A535B2"/>
    <w:rsid w:val="00A548F2"/>
    <w:rsid w:val="00AB2895"/>
    <w:rsid w:val="00AB28A1"/>
    <w:rsid w:val="00AF6A1B"/>
    <w:rsid w:val="00B0109F"/>
    <w:rsid w:val="00B03594"/>
    <w:rsid w:val="00B74396"/>
    <w:rsid w:val="00B82794"/>
    <w:rsid w:val="00BC6AFA"/>
    <w:rsid w:val="00BF6987"/>
    <w:rsid w:val="00C47ABE"/>
    <w:rsid w:val="00C52245"/>
    <w:rsid w:val="00C62A8B"/>
    <w:rsid w:val="00C70687"/>
    <w:rsid w:val="00CD6E9D"/>
    <w:rsid w:val="00D01CFF"/>
    <w:rsid w:val="00D3243B"/>
    <w:rsid w:val="00D879A1"/>
    <w:rsid w:val="00DA12D1"/>
    <w:rsid w:val="00DA3124"/>
    <w:rsid w:val="00DC2544"/>
    <w:rsid w:val="00E239A7"/>
    <w:rsid w:val="00E52C61"/>
    <w:rsid w:val="00EB1061"/>
    <w:rsid w:val="00EB20A1"/>
    <w:rsid w:val="00EB432F"/>
    <w:rsid w:val="00EE71ED"/>
    <w:rsid w:val="00F224AB"/>
    <w:rsid w:val="00F346AC"/>
    <w:rsid w:val="00F71167"/>
    <w:rsid w:val="00F75B41"/>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66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2C41"/>
    <w:pPr>
      <w:spacing w:after="0" w:line="240" w:lineRule="auto"/>
    </w:pPr>
    <w:rPr>
      <w:sz w:val="20"/>
      <w:szCs w:val="20"/>
    </w:rPr>
  </w:style>
  <w:style w:type="character" w:customStyle="1" w:styleId="FootnoteTextChar">
    <w:name w:val="Footnote Text Char"/>
    <w:basedOn w:val="DefaultParagraphFont"/>
    <w:link w:val="FootnoteText"/>
    <w:uiPriority w:val="99"/>
    <w:rsid w:val="00222C41"/>
    <w:rPr>
      <w:sz w:val="20"/>
      <w:szCs w:val="20"/>
    </w:rPr>
  </w:style>
  <w:style w:type="character" w:styleId="FootnoteReference">
    <w:name w:val="footnote reference"/>
    <w:basedOn w:val="DefaultParagraphFont"/>
    <w:uiPriority w:val="99"/>
    <w:semiHidden/>
    <w:unhideWhenUsed/>
    <w:rsid w:val="00222C41"/>
    <w:rPr>
      <w:vertAlign w:val="superscript"/>
    </w:rPr>
  </w:style>
  <w:style w:type="table" w:styleId="TableGrid">
    <w:name w:val="Table Grid"/>
    <w:basedOn w:val="TableNormal"/>
    <w:uiPriority w:val="59"/>
    <w:rsid w:val="00F71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3F"/>
    <w:rPr>
      <w:rFonts w:ascii="Tahoma" w:hAnsi="Tahoma" w:cs="Tahoma"/>
      <w:sz w:val="16"/>
      <w:szCs w:val="16"/>
    </w:rPr>
  </w:style>
  <w:style w:type="character" w:styleId="Emphasis">
    <w:name w:val="Emphasis"/>
    <w:basedOn w:val="DefaultParagraphFont"/>
    <w:uiPriority w:val="20"/>
    <w:qFormat/>
    <w:rsid w:val="005A1883"/>
    <w:rPr>
      <w:i/>
      <w:iCs/>
    </w:rPr>
  </w:style>
  <w:style w:type="character" w:customStyle="1" w:styleId="Heading1Char">
    <w:name w:val="Heading 1 Char"/>
    <w:basedOn w:val="DefaultParagraphFont"/>
    <w:link w:val="Heading1"/>
    <w:uiPriority w:val="9"/>
    <w:rsid w:val="003D6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66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34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6AC"/>
  </w:style>
  <w:style w:type="paragraph" w:styleId="Footer">
    <w:name w:val="footer"/>
    <w:basedOn w:val="Normal"/>
    <w:link w:val="FooterChar"/>
    <w:uiPriority w:val="99"/>
    <w:unhideWhenUsed/>
    <w:rsid w:val="00F3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AC"/>
  </w:style>
  <w:style w:type="paragraph" w:styleId="ListParagraph">
    <w:name w:val="List Paragraph"/>
    <w:basedOn w:val="Normal"/>
    <w:uiPriority w:val="34"/>
    <w:qFormat/>
    <w:rsid w:val="005E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66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2C41"/>
    <w:pPr>
      <w:spacing w:after="0" w:line="240" w:lineRule="auto"/>
    </w:pPr>
    <w:rPr>
      <w:sz w:val="20"/>
      <w:szCs w:val="20"/>
    </w:rPr>
  </w:style>
  <w:style w:type="character" w:customStyle="1" w:styleId="FootnoteTextChar">
    <w:name w:val="Footnote Text Char"/>
    <w:basedOn w:val="DefaultParagraphFont"/>
    <w:link w:val="FootnoteText"/>
    <w:uiPriority w:val="99"/>
    <w:rsid w:val="00222C41"/>
    <w:rPr>
      <w:sz w:val="20"/>
      <w:szCs w:val="20"/>
    </w:rPr>
  </w:style>
  <w:style w:type="character" w:styleId="FootnoteReference">
    <w:name w:val="footnote reference"/>
    <w:basedOn w:val="DefaultParagraphFont"/>
    <w:uiPriority w:val="99"/>
    <w:semiHidden/>
    <w:unhideWhenUsed/>
    <w:rsid w:val="00222C41"/>
    <w:rPr>
      <w:vertAlign w:val="superscript"/>
    </w:rPr>
  </w:style>
  <w:style w:type="table" w:styleId="TableGrid">
    <w:name w:val="Table Grid"/>
    <w:basedOn w:val="TableNormal"/>
    <w:uiPriority w:val="59"/>
    <w:rsid w:val="00F71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3F"/>
    <w:rPr>
      <w:rFonts w:ascii="Tahoma" w:hAnsi="Tahoma" w:cs="Tahoma"/>
      <w:sz w:val="16"/>
      <w:szCs w:val="16"/>
    </w:rPr>
  </w:style>
  <w:style w:type="character" w:styleId="Emphasis">
    <w:name w:val="Emphasis"/>
    <w:basedOn w:val="DefaultParagraphFont"/>
    <w:uiPriority w:val="20"/>
    <w:qFormat/>
    <w:rsid w:val="005A1883"/>
    <w:rPr>
      <w:i/>
      <w:iCs/>
    </w:rPr>
  </w:style>
  <w:style w:type="character" w:customStyle="1" w:styleId="Heading1Char">
    <w:name w:val="Heading 1 Char"/>
    <w:basedOn w:val="DefaultParagraphFont"/>
    <w:link w:val="Heading1"/>
    <w:uiPriority w:val="9"/>
    <w:rsid w:val="003D6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66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346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6AC"/>
  </w:style>
  <w:style w:type="paragraph" w:styleId="Footer">
    <w:name w:val="footer"/>
    <w:basedOn w:val="Normal"/>
    <w:link w:val="FooterChar"/>
    <w:uiPriority w:val="99"/>
    <w:unhideWhenUsed/>
    <w:rsid w:val="00F3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AC"/>
  </w:style>
  <w:style w:type="paragraph" w:styleId="ListParagraph">
    <w:name w:val="List Paragraph"/>
    <w:basedOn w:val="Normal"/>
    <w:uiPriority w:val="34"/>
    <w:qFormat/>
    <w:rsid w:val="005E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246">
      <w:bodyDiv w:val="1"/>
      <w:marLeft w:val="0"/>
      <w:marRight w:val="0"/>
      <w:marTop w:val="0"/>
      <w:marBottom w:val="0"/>
      <w:divBdr>
        <w:top w:val="none" w:sz="0" w:space="0" w:color="auto"/>
        <w:left w:val="none" w:sz="0" w:space="0" w:color="auto"/>
        <w:bottom w:val="none" w:sz="0" w:space="0" w:color="auto"/>
        <w:right w:val="none" w:sz="0" w:space="0" w:color="auto"/>
      </w:divBdr>
    </w:div>
    <w:div w:id="173541361">
      <w:bodyDiv w:val="1"/>
      <w:marLeft w:val="0"/>
      <w:marRight w:val="0"/>
      <w:marTop w:val="0"/>
      <w:marBottom w:val="0"/>
      <w:divBdr>
        <w:top w:val="none" w:sz="0" w:space="0" w:color="auto"/>
        <w:left w:val="none" w:sz="0" w:space="0" w:color="auto"/>
        <w:bottom w:val="none" w:sz="0" w:space="0" w:color="auto"/>
        <w:right w:val="none" w:sz="0" w:space="0" w:color="auto"/>
      </w:divBdr>
    </w:div>
    <w:div w:id="635257657">
      <w:bodyDiv w:val="1"/>
      <w:marLeft w:val="0"/>
      <w:marRight w:val="0"/>
      <w:marTop w:val="0"/>
      <w:marBottom w:val="0"/>
      <w:divBdr>
        <w:top w:val="none" w:sz="0" w:space="0" w:color="auto"/>
        <w:left w:val="none" w:sz="0" w:space="0" w:color="auto"/>
        <w:bottom w:val="none" w:sz="0" w:space="0" w:color="auto"/>
        <w:right w:val="none" w:sz="0" w:space="0" w:color="auto"/>
      </w:divBdr>
    </w:div>
    <w:div w:id="1532839723">
      <w:bodyDiv w:val="1"/>
      <w:marLeft w:val="0"/>
      <w:marRight w:val="0"/>
      <w:marTop w:val="0"/>
      <w:marBottom w:val="0"/>
      <w:divBdr>
        <w:top w:val="none" w:sz="0" w:space="0" w:color="auto"/>
        <w:left w:val="none" w:sz="0" w:space="0" w:color="auto"/>
        <w:bottom w:val="none" w:sz="0" w:space="0" w:color="auto"/>
        <w:right w:val="none" w:sz="0" w:space="0" w:color="auto"/>
      </w:divBdr>
    </w:div>
    <w:div w:id="1551380139">
      <w:bodyDiv w:val="1"/>
      <w:marLeft w:val="0"/>
      <w:marRight w:val="0"/>
      <w:marTop w:val="0"/>
      <w:marBottom w:val="0"/>
      <w:divBdr>
        <w:top w:val="none" w:sz="0" w:space="0" w:color="auto"/>
        <w:left w:val="none" w:sz="0" w:space="0" w:color="auto"/>
        <w:bottom w:val="none" w:sz="0" w:space="0" w:color="auto"/>
        <w:right w:val="none" w:sz="0" w:space="0" w:color="auto"/>
      </w:divBdr>
    </w:div>
    <w:div w:id="20336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Greece</c:v>
                </c:pt>
              </c:strCache>
            </c:strRef>
          </c:tx>
          <c:marker>
            <c:symbol val="none"/>
          </c:marker>
          <c:cat>
            <c:numRef>
              <c:f>Sheet1!$A$2:$A$21</c:f>
              <c:numCache>
                <c:formatCode>dd\-mmm</c:formatCode>
                <c:ptCount val="20"/>
                <c:pt idx="0">
                  <c:v>40277</c:v>
                </c:pt>
                <c:pt idx="1">
                  <c:v>40284</c:v>
                </c:pt>
                <c:pt idx="2">
                  <c:v>40291</c:v>
                </c:pt>
                <c:pt idx="3">
                  <c:v>40298</c:v>
                </c:pt>
                <c:pt idx="4">
                  <c:v>40305</c:v>
                </c:pt>
                <c:pt idx="5">
                  <c:v>40312</c:v>
                </c:pt>
                <c:pt idx="6">
                  <c:v>40319</c:v>
                </c:pt>
                <c:pt idx="7">
                  <c:v>40326</c:v>
                </c:pt>
                <c:pt idx="8">
                  <c:v>40333</c:v>
                </c:pt>
                <c:pt idx="9">
                  <c:v>40340</c:v>
                </c:pt>
                <c:pt idx="10">
                  <c:v>40347</c:v>
                </c:pt>
                <c:pt idx="11">
                  <c:v>40354</c:v>
                </c:pt>
                <c:pt idx="12">
                  <c:v>40361</c:v>
                </c:pt>
                <c:pt idx="13">
                  <c:v>40368</c:v>
                </c:pt>
                <c:pt idx="14">
                  <c:v>40375</c:v>
                </c:pt>
                <c:pt idx="15">
                  <c:v>40382</c:v>
                </c:pt>
                <c:pt idx="16">
                  <c:v>40389</c:v>
                </c:pt>
                <c:pt idx="17">
                  <c:v>40396</c:v>
                </c:pt>
                <c:pt idx="18">
                  <c:v>40403</c:v>
                </c:pt>
                <c:pt idx="19">
                  <c:v>40410</c:v>
                </c:pt>
              </c:numCache>
            </c:numRef>
          </c:cat>
          <c:val>
            <c:numRef>
              <c:f>Sheet1!$B$2:$B$21</c:f>
              <c:numCache>
                <c:formatCode>General</c:formatCode>
                <c:ptCount val="20"/>
                <c:pt idx="0">
                  <c:v>3.96</c:v>
                </c:pt>
                <c:pt idx="1">
                  <c:v>4.1399999999999997</c:v>
                </c:pt>
                <c:pt idx="2">
                  <c:v>5.6199999999999974</c:v>
                </c:pt>
                <c:pt idx="3">
                  <c:v>6.33</c:v>
                </c:pt>
                <c:pt idx="4">
                  <c:v>10.38</c:v>
                </c:pt>
                <c:pt idx="5">
                  <c:v>4.54</c:v>
                </c:pt>
                <c:pt idx="6">
                  <c:v>5.46</c:v>
                </c:pt>
                <c:pt idx="7">
                  <c:v>5.08</c:v>
                </c:pt>
                <c:pt idx="8">
                  <c:v>5.73</c:v>
                </c:pt>
                <c:pt idx="9">
                  <c:v>5.7700000000000014</c:v>
                </c:pt>
                <c:pt idx="10">
                  <c:v>6.98</c:v>
                </c:pt>
                <c:pt idx="11">
                  <c:v>7.85</c:v>
                </c:pt>
                <c:pt idx="12">
                  <c:v>7.74</c:v>
                </c:pt>
                <c:pt idx="13">
                  <c:v>7.83</c:v>
                </c:pt>
                <c:pt idx="14">
                  <c:v>7.7700000000000014</c:v>
                </c:pt>
                <c:pt idx="15">
                  <c:v>7.83</c:v>
                </c:pt>
                <c:pt idx="16">
                  <c:v>7.64</c:v>
                </c:pt>
                <c:pt idx="17">
                  <c:v>7.74</c:v>
                </c:pt>
                <c:pt idx="18">
                  <c:v>8.2800000000000011</c:v>
                </c:pt>
                <c:pt idx="19">
                  <c:v>8.65</c:v>
                </c:pt>
              </c:numCache>
            </c:numRef>
          </c:val>
          <c:smooth val="0"/>
        </c:ser>
        <c:ser>
          <c:idx val="1"/>
          <c:order val="1"/>
          <c:tx>
            <c:strRef>
              <c:f>Sheet1!$C$1</c:f>
              <c:strCache>
                <c:ptCount val="1"/>
                <c:pt idx="0">
                  <c:v>Ireland</c:v>
                </c:pt>
              </c:strCache>
            </c:strRef>
          </c:tx>
          <c:marker>
            <c:symbol val="none"/>
          </c:marker>
          <c:cat>
            <c:numRef>
              <c:f>Sheet1!$A$2:$A$21</c:f>
              <c:numCache>
                <c:formatCode>dd\-mmm</c:formatCode>
                <c:ptCount val="20"/>
                <c:pt idx="0">
                  <c:v>40277</c:v>
                </c:pt>
                <c:pt idx="1">
                  <c:v>40284</c:v>
                </c:pt>
                <c:pt idx="2">
                  <c:v>40291</c:v>
                </c:pt>
                <c:pt idx="3">
                  <c:v>40298</c:v>
                </c:pt>
                <c:pt idx="4">
                  <c:v>40305</c:v>
                </c:pt>
                <c:pt idx="5">
                  <c:v>40312</c:v>
                </c:pt>
                <c:pt idx="6">
                  <c:v>40319</c:v>
                </c:pt>
                <c:pt idx="7">
                  <c:v>40326</c:v>
                </c:pt>
                <c:pt idx="8">
                  <c:v>40333</c:v>
                </c:pt>
                <c:pt idx="9">
                  <c:v>40340</c:v>
                </c:pt>
                <c:pt idx="10">
                  <c:v>40347</c:v>
                </c:pt>
                <c:pt idx="11">
                  <c:v>40354</c:v>
                </c:pt>
                <c:pt idx="12">
                  <c:v>40361</c:v>
                </c:pt>
                <c:pt idx="13">
                  <c:v>40368</c:v>
                </c:pt>
                <c:pt idx="14">
                  <c:v>40375</c:v>
                </c:pt>
                <c:pt idx="15">
                  <c:v>40382</c:v>
                </c:pt>
                <c:pt idx="16">
                  <c:v>40389</c:v>
                </c:pt>
                <c:pt idx="17">
                  <c:v>40396</c:v>
                </c:pt>
                <c:pt idx="18">
                  <c:v>40403</c:v>
                </c:pt>
                <c:pt idx="19">
                  <c:v>40410</c:v>
                </c:pt>
              </c:numCache>
            </c:numRef>
          </c:cat>
          <c:val>
            <c:numRef>
              <c:f>Sheet1!$C$2:$C$21</c:f>
              <c:numCache>
                <c:formatCode>General</c:formatCode>
                <c:ptCount val="20"/>
                <c:pt idx="0">
                  <c:v>1.42</c:v>
                </c:pt>
                <c:pt idx="1">
                  <c:v>1.45</c:v>
                </c:pt>
                <c:pt idx="2">
                  <c:v>1.6900000000000006</c:v>
                </c:pt>
                <c:pt idx="3">
                  <c:v>2.12</c:v>
                </c:pt>
                <c:pt idx="4">
                  <c:v>3.19</c:v>
                </c:pt>
                <c:pt idx="5">
                  <c:v>1.76</c:v>
                </c:pt>
                <c:pt idx="6">
                  <c:v>2.1800000000000002</c:v>
                </c:pt>
                <c:pt idx="7">
                  <c:v>2.21</c:v>
                </c:pt>
                <c:pt idx="8">
                  <c:v>2.56</c:v>
                </c:pt>
                <c:pt idx="9">
                  <c:v>2.69</c:v>
                </c:pt>
                <c:pt idx="10">
                  <c:v>2.9699999999999998</c:v>
                </c:pt>
                <c:pt idx="11">
                  <c:v>3.04</c:v>
                </c:pt>
                <c:pt idx="12">
                  <c:v>2.8099999999999987</c:v>
                </c:pt>
                <c:pt idx="13">
                  <c:v>2.71</c:v>
                </c:pt>
                <c:pt idx="14">
                  <c:v>2.92</c:v>
                </c:pt>
                <c:pt idx="15">
                  <c:v>2.74</c:v>
                </c:pt>
                <c:pt idx="16">
                  <c:v>2.4099999999999997</c:v>
                </c:pt>
                <c:pt idx="17">
                  <c:v>2.42</c:v>
                </c:pt>
                <c:pt idx="18">
                  <c:v>3.04</c:v>
                </c:pt>
                <c:pt idx="19">
                  <c:v>3.14</c:v>
                </c:pt>
              </c:numCache>
            </c:numRef>
          </c:val>
          <c:smooth val="0"/>
        </c:ser>
        <c:ser>
          <c:idx val="2"/>
          <c:order val="2"/>
          <c:tx>
            <c:strRef>
              <c:f>Sheet1!$D$1</c:f>
              <c:strCache>
                <c:ptCount val="1"/>
                <c:pt idx="0">
                  <c:v>Italy</c:v>
                </c:pt>
              </c:strCache>
            </c:strRef>
          </c:tx>
          <c:marker>
            <c:symbol val="none"/>
          </c:marker>
          <c:cat>
            <c:numRef>
              <c:f>Sheet1!$A$2:$A$21</c:f>
              <c:numCache>
                <c:formatCode>dd\-mmm</c:formatCode>
                <c:ptCount val="20"/>
                <c:pt idx="0">
                  <c:v>40277</c:v>
                </c:pt>
                <c:pt idx="1">
                  <c:v>40284</c:v>
                </c:pt>
                <c:pt idx="2">
                  <c:v>40291</c:v>
                </c:pt>
                <c:pt idx="3">
                  <c:v>40298</c:v>
                </c:pt>
                <c:pt idx="4">
                  <c:v>40305</c:v>
                </c:pt>
                <c:pt idx="5">
                  <c:v>40312</c:v>
                </c:pt>
                <c:pt idx="6">
                  <c:v>40319</c:v>
                </c:pt>
                <c:pt idx="7">
                  <c:v>40326</c:v>
                </c:pt>
                <c:pt idx="8">
                  <c:v>40333</c:v>
                </c:pt>
                <c:pt idx="9">
                  <c:v>40340</c:v>
                </c:pt>
                <c:pt idx="10">
                  <c:v>40347</c:v>
                </c:pt>
                <c:pt idx="11">
                  <c:v>40354</c:v>
                </c:pt>
                <c:pt idx="12">
                  <c:v>40361</c:v>
                </c:pt>
                <c:pt idx="13">
                  <c:v>40368</c:v>
                </c:pt>
                <c:pt idx="14">
                  <c:v>40375</c:v>
                </c:pt>
                <c:pt idx="15">
                  <c:v>40382</c:v>
                </c:pt>
                <c:pt idx="16">
                  <c:v>40389</c:v>
                </c:pt>
                <c:pt idx="17">
                  <c:v>40396</c:v>
                </c:pt>
                <c:pt idx="18">
                  <c:v>40403</c:v>
                </c:pt>
                <c:pt idx="19">
                  <c:v>40410</c:v>
                </c:pt>
              </c:numCache>
            </c:numRef>
          </c:cat>
          <c:val>
            <c:numRef>
              <c:f>Sheet1!$D$2:$D$21</c:f>
              <c:numCache>
                <c:formatCode>General</c:formatCode>
                <c:ptCount val="20"/>
                <c:pt idx="0">
                  <c:v>0.72000000000000031</c:v>
                </c:pt>
                <c:pt idx="1">
                  <c:v>0.77000000000000035</c:v>
                </c:pt>
                <c:pt idx="2">
                  <c:v>0.88</c:v>
                </c:pt>
                <c:pt idx="3">
                  <c:v>1.02</c:v>
                </c:pt>
                <c:pt idx="4">
                  <c:v>1.57</c:v>
                </c:pt>
                <c:pt idx="5">
                  <c:v>0.99</c:v>
                </c:pt>
                <c:pt idx="6">
                  <c:v>1.3</c:v>
                </c:pt>
                <c:pt idx="7">
                  <c:v>1.43</c:v>
                </c:pt>
                <c:pt idx="8">
                  <c:v>1.6700000000000006</c:v>
                </c:pt>
                <c:pt idx="9">
                  <c:v>1.48</c:v>
                </c:pt>
                <c:pt idx="10">
                  <c:v>1.27</c:v>
                </c:pt>
                <c:pt idx="11">
                  <c:v>1.48</c:v>
                </c:pt>
                <c:pt idx="12">
                  <c:v>1.44</c:v>
                </c:pt>
                <c:pt idx="13">
                  <c:v>1.41</c:v>
                </c:pt>
                <c:pt idx="14">
                  <c:v>1.48</c:v>
                </c:pt>
                <c:pt idx="15">
                  <c:v>1.3</c:v>
                </c:pt>
                <c:pt idx="16">
                  <c:v>1.3</c:v>
                </c:pt>
                <c:pt idx="17">
                  <c:v>1.25</c:v>
                </c:pt>
                <c:pt idx="18">
                  <c:v>1.48</c:v>
                </c:pt>
                <c:pt idx="19">
                  <c:v>1.53</c:v>
                </c:pt>
              </c:numCache>
            </c:numRef>
          </c:val>
          <c:smooth val="0"/>
        </c:ser>
        <c:ser>
          <c:idx val="3"/>
          <c:order val="3"/>
          <c:tx>
            <c:strRef>
              <c:f>Sheet1!$E$1</c:f>
              <c:strCache>
                <c:ptCount val="1"/>
                <c:pt idx="0">
                  <c:v>Portugal</c:v>
                </c:pt>
              </c:strCache>
            </c:strRef>
          </c:tx>
          <c:marker>
            <c:symbol val="none"/>
          </c:marker>
          <c:cat>
            <c:numRef>
              <c:f>Sheet1!$A$2:$A$21</c:f>
              <c:numCache>
                <c:formatCode>dd\-mmm</c:formatCode>
                <c:ptCount val="20"/>
                <c:pt idx="0">
                  <c:v>40277</c:v>
                </c:pt>
                <c:pt idx="1">
                  <c:v>40284</c:v>
                </c:pt>
                <c:pt idx="2">
                  <c:v>40291</c:v>
                </c:pt>
                <c:pt idx="3">
                  <c:v>40298</c:v>
                </c:pt>
                <c:pt idx="4">
                  <c:v>40305</c:v>
                </c:pt>
                <c:pt idx="5">
                  <c:v>40312</c:v>
                </c:pt>
                <c:pt idx="6">
                  <c:v>40319</c:v>
                </c:pt>
                <c:pt idx="7">
                  <c:v>40326</c:v>
                </c:pt>
                <c:pt idx="8">
                  <c:v>40333</c:v>
                </c:pt>
                <c:pt idx="9">
                  <c:v>40340</c:v>
                </c:pt>
                <c:pt idx="10">
                  <c:v>40347</c:v>
                </c:pt>
                <c:pt idx="11">
                  <c:v>40354</c:v>
                </c:pt>
                <c:pt idx="12">
                  <c:v>40361</c:v>
                </c:pt>
                <c:pt idx="13">
                  <c:v>40368</c:v>
                </c:pt>
                <c:pt idx="14">
                  <c:v>40375</c:v>
                </c:pt>
                <c:pt idx="15">
                  <c:v>40382</c:v>
                </c:pt>
                <c:pt idx="16">
                  <c:v>40389</c:v>
                </c:pt>
                <c:pt idx="17">
                  <c:v>40396</c:v>
                </c:pt>
                <c:pt idx="18">
                  <c:v>40403</c:v>
                </c:pt>
                <c:pt idx="19">
                  <c:v>40410</c:v>
                </c:pt>
              </c:numCache>
            </c:numRef>
          </c:cat>
          <c:val>
            <c:numRef>
              <c:f>Sheet1!$E$2:$E$21</c:f>
              <c:numCache>
                <c:formatCode>General</c:formatCode>
                <c:ptCount val="20"/>
                <c:pt idx="0">
                  <c:v>1.23</c:v>
                </c:pt>
                <c:pt idx="1">
                  <c:v>1.37</c:v>
                </c:pt>
                <c:pt idx="2">
                  <c:v>1.9600000000000006</c:v>
                </c:pt>
                <c:pt idx="3">
                  <c:v>2.3499999999999988</c:v>
                </c:pt>
                <c:pt idx="4">
                  <c:v>4.26</c:v>
                </c:pt>
                <c:pt idx="5">
                  <c:v>1.75</c:v>
                </c:pt>
                <c:pt idx="6">
                  <c:v>2.04</c:v>
                </c:pt>
                <c:pt idx="7">
                  <c:v>2.09</c:v>
                </c:pt>
                <c:pt idx="8">
                  <c:v>2.72</c:v>
                </c:pt>
                <c:pt idx="9">
                  <c:v>2.77</c:v>
                </c:pt>
                <c:pt idx="10">
                  <c:v>3.02</c:v>
                </c:pt>
                <c:pt idx="11">
                  <c:v>3.16</c:v>
                </c:pt>
                <c:pt idx="12">
                  <c:v>2.8499999999999988</c:v>
                </c:pt>
                <c:pt idx="13">
                  <c:v>2.79</c:v>
                </c:pt>
                <c:pt idx="14">
                  <c:v>3.1</c:v>
                </c:pt>
                <c:pt idx="15">
                  <c:v>3.01</c:v>
                </c:pt>
                <c:pt idx="16">
                  <c:v>2.64</c:v>
                </c:pt>
                <c:pt idx="17">
                  <c:v>2.52</c:v>
                </c:pt>
                <c:pt idx="18">
                  <c:v>2.8899999999999997</c:v>
                </c:pt>
                <c:pt idx="19">
                  <c:v>3.02</c:v>
                </c:pt>
              </c:numCache>
            </c:numRef>
          </c:val>
          <c:smooth val="0"/>
        </c:ser>
        <c:ser>
          <c:idx val="4"/>
          <c:order val="4"/>
          <c:tx>
            <c:strRef>
              <c:f>Sheet1!$F$1</c:f>
              <c:strCache>
                <c:ptCount val="1"/>
                <c:pt idx="0">
                  <c:v>Spain</c:v>
                </c:pt>
              </c:strCache>
            </c:strRef>
          </c:tx>
          <c:marker>
            <c:symbol val="none"/>
          </c:marker>
          <c:cat>
            <c:numRef>
              <c:f>Sheet1!$A$2:$A$21</c:f>
              <c:numCache>
                <c:formatCode>dd\-mmm</c:formatCode>
                <c:ptCount val="20"/>
                <c:pt idx="0">
                  <c:v>40277</c:v>
                </c:pt>
                <c:pt idx="1">
                  <c:v>40284</c:v>
                </c:pt>
                <c:pt idx="2">
                  <c:v>40291</c:v>
                </c:pt>
                <c:pt idx="3">
                  <c:v>40298</c:v>
                </c:pt>
                <c:pt idx="4">
                  <c:v>40305</c:v>
                </c:pt>
                <c:pt idx="5">
                  <c:v>40312</c:v>
                </c:pt>
                <c:pt idx="6">
                  <c:v>40319</c:v>
                </c:pt>
                <c:pt idx="7">
                  <c:v>40326</c:v>
                </c:pt>
                <c:pt idx="8">
                  <c:v>40333</c:v>
                </c:pt>
                <c:pt idx="9">
                  <c:v>40340</c:v>
                </c:pt>
                <c:pt idx="10">
                  <c:v>40347</c:v>
                </c:pt>
                <c:pt idx="11">
                  <c:v>40354</c:v>
                </c:pt>
                <c:pt idx="12">
                  <c:v>40361</c:v>
                </c:pt>
                <c:pt idx="13">
                  <c:v>40368</c:v>
                </c:pt>
                <c:pt idx="14">
                  <c:v>40375</c:v>
                </c:pt>
                <c:pt idx="15">
                  <c:v>40382</c:v>
                </c:pt>
                <c:pt idx="16">
                  <c:v>40389</c:v>
                </c:pt>
                <c:pt idx="17">
                  <c:v>40396</c:v>
                </c:pt>
                <c:pt idx="18">
                  <c:v>40403</c:v>
                </c:pt>
                <c:pt idx="19">
                  <c:v>40410</c:v>
                </c:pt>
              </c:numCache>
            </c:numRef>
          </c:cat>
          <c:val>
            <c:numRef>
              <c:f>Sheet1!$F$2:$F$21</c:f>
              <c:numCache>
                <c:formatCode>General</c:formatCode>
                <c:ptCount val="20"/>
                <c:pt idx="0">
                  <c:v>0.72000000000000031</c:v>
                </c:pt>
                <c:pt idx="1">
                  <c:v>0.75000000000000033</c:v>
                </c:pt>
                <c:pt idx="2">
                  <c:v>0.9</c:v>
                </c:pt>
                <c:pt idx="3">
                  <c:v>1.03</c:v>
                </c:pt>
                <c:pt idx="4">
                  <c:v>1.81</c:v>
                </c:pt>
                <c:pt idx="5">
                  <c:v>1.05</c:v>
                </c:pt>
                <c:pt idx="6">
                  <c:v>1.44</c:v>
                </c:pt>
                <c:pt idx="7">
                  <c:v>1.54</c:v>
                </c:pt>
                <c:pt idx="8">
                  <c:v>2.02</c:v>
                </c:pt>
                <c:pt idx="9">
                  <c:v>2.0299999999999998</c:v>
                </c:pt>
                <c:pt idx="10">
                  <c:v>1.9600000000000006</c:v>
                </c:pt>
                <c:pt idx="11">
                  <c:v>1.87</c:v>
                </c:pt>
                <c:pt idx="12">
                  <c:v>1.9900000000000007</c:v>
                </c:pt>
                <c:pt idx="13">
                  <c:v>1.9800000000000006</c:v>
                </c:pt>
                <c:pt idx="14">
                  <c:v>1.8900000000000001</c:v>
                </c:pt>
                <c:pt idx="15">
                  <c:v>1.6600000000000001</c:v>
                </c:pt>
                <c:pt idx="16">
                  <c:v>1.59</c:v>
                </c:pt>
                <c:pt idx="17">
                  <c:v>1.53</c:v>
                </c:pt>
                <c:pt idx="18">
                  <c:v>1.8900000000000001</c:v>
                </c:pt>
                <c:pt idx="19">
                  <c:v>1.8</c:v>
                </c:pt>
              </c:numCache>
            </c:numRef>
          </c:val>
          <c:smooth val="0"/>
        </c:ser>
        <c:dLbls>
          <c:showLegendKey val="0"/>
          <c:showVal val="0"/>
          <c:showCatName val="0"/>
          <c:showSerName val="0"/>
          <c:showPercent val="0"/>
          <c:showBubbleSize val="0"/>
        </c:dLbls>
        <c:marker val="1"/>
        <c:smooth val="0"/>
        <c:axId val="192542976"/>
        <c:axId val="91611904"/>
      </c:lineChart>
      <c:dateAx>
        <c:axId val="192542976"/>
        <c:scaling>
          <c:orientation val="minMax"/>
        </c:scaling>
        <c:delete val="0"/>
        <c:axPos val="b"/>
        <c:numFmt formatCode="dd\-mmm" sourceLinked="1"/>
        <c:majorTickMark val="out"/>
        <c:minorTickMark val="none"/>
        <c:tickLblPos val="nextTo"/>
        <c:crossAx val="91611904"/>
        <c:crosses val="autoZero"/>
        <c:auto val="1"/>
        <c:lblOffset val="100"/>
        <c:baseTimeUnit val="days"/>
      </c:dateAx>
      <c:valAx>
        <c:axId val="91611904"/>
        <c:scaling>
          <c:orientation val="minMax"/>
        </c:scaling>
        <c:delete val="0"/>
        <c:axPos val="l"/>
        <c:majorGridlines/>
        <c:numFmt formatCode="General" sourceLinked="1"/>
        <c:majorTickMark val="out"/>
        <c:minorTickMark val="none"/>
        <c:tickLblPos val="nextTo"/>
        <c:crossAx val="192542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2006</c:v>
                </c:pt>
              </c:strCache>
            </c:strRef>
          </c:tx>
          <c:invertIfNegative val="0"/>
          <c:cat>
            <c:strRef>
              <c:f>Sheet1!$A$2:$A$17</c:f>
              <c:strCache>
                <c:ptCount val="16"/>
                <c:pt idx="0">
                  <c:v>BE</c:v>
                </c:pt>
                <c:pt idx="1">
                  <c:v>DE</c:v>
                </c:pt>
                <c:pt idx="2">
                  <c:v>IE</c:v>
                </c:pt>
                <c:pt idx="3">
                  <c:v>GR</c:v>
                </c:pt>
                <c:pt idx="4">
                  <c:v>ES</c:v>
                </c:pt>
                <c:pt idx="5">
                  <c:v>FR</c:v>
                </c:pt>
                <c:pt idx="6">
                  <c:v>IT</c:v>
                </c:pt>
                <c:pt idx="7">
                  <c:v>CY</c:v>
                </c:pt>
                <c:pt idx="8">
                  <c:v>LU</c:v>
                </c:pt>
                <c:pt idx="9">
                  <c:v>MT</c:v>
                </c:pt>
                <c:pt idx="10">
                  <c:v>NL</c:v>
                </c:pt>
                <c:pt idx="11">
                  <c:v>AT</c:v>
                </c:pt>
                <c:pt idx="12">
                  <c:v>PT</c:v>
                </c:pt>
                <c:pt idx="13">
                  <c:v>SI</c:v>
                </c:pt>
                <c:pt idx="14">
                  <c:v>SK</c:v>
                </c:pt>
                <c:pt idx="15">
                  <c:v>FI</c:v>
                </c:pt>
              </c:strCache>
            </c:strRef>
          </c:cat>
          <c:val>
            <c:numRef>
              <c:f>Sheet1!$B$2:$B$17</c:f>
              <c:numCache>
                <c:formatCode>General</c:formatCode>
                <c:ptCount val="16"/>
                <c:pt idx="0">
                  <c:v>88.1</c:v>
                </c:pt>
                <c:pt idx="1">
                  <c:v>67.599999999999994</c:v>
                </c:pt>
                <c:pt idx="2">
                  <c:v>24.9</c:v>
                </c:pt>
                <c:pt idx="3">
                  <c:v>97.8</c:v>
                </c:pt>
                <c:pt idx="4">
                  <c:v>39.6</c:v>
                </c:pt>
                <c:pt idx="5">
                  <c:v>63.7</c:v>
                </c:pt>
                <c:pt idx="6">
                  <c:v>106.5</c:v>
                </c:pt>
                <c:pt idx="7">
                  <c:v>64.599999999999994</c:v>
                </c:pt>
                <c:pt idx="8">
                  <c:v>6.5</c:v>
                </c:pt>
                <c:pt idx="9">
                  <c:v>63.7</c:v>
                </c:pt>
                <c:pt idx="10">
                  <c:v>47.4</c:v>
                </c:pt>
                <c:pt idx="11">
                  <c:v>62.2</c:v>
                </c:pt>
                <c:pt idx="12">
                  <c:v>64.7</c:v>
                </c:pt>
                <c:pt idx="13">
                  <c:v>26.7</c:v>
                </c:pt>
                <c:pt idx="14">
                  <c:v>30.5</c:v>
                </c:pt>
                <c:pt idx="15">
                  <c:v>39.700000000000003</c:v>
                </c:pt>
              </c:numCache>
            </c:numRef>
          </c:val>
        </c:ser>
        <c:ser>
          <c:idx val="1"/>
          <c:order val="1"/>
          <c:tx>
            <c:strRef>
              <c:f>Sheet1!$C$1</c:f>
              <c:strCache>
                <c:ptCount val="1"/>
                <c:pt idx="0">
                  <c:v>2009</c:v>
                </c:pt>
              </c:strCache>
            </c:strRef>
          </c:tx>
          <c:invertIfNegative val="0"/>
          <c:cat>
            <c:strRef>
              <c:f>Sheet1!$A$2:$A$17</c:f>
              <c:strCache>
                <c:ptCount val="16"/>
                <c:pt idx="0">
                  <c:v>BE</c:v>
                </c:pt>
                <c:pt idx="1">
                  <c:v>DE</c:v>
                </c:pt>
                <c:pt idx="2">
                  <c:v>IE</c:v>
                </c:pt>
                <c:pt idx="3">
                  <c:v>GR</c:v>
                </c:pt>
                <c:pt idx="4">
                  <c:v>ES</c:v>
                </c:pt>
                <c:pt idx="5">
                  <c:v>FR</c:v>
                </c:pt>
                <c:pt idx="6">
                  <c:v>IT</c:v>
                </c:pt>
                <c:pt idx="7">
                  <c:v>CY</c:v>
                </c:pt>
                <c:pt idx="8">
                  <c:v>LU</c:v>
                </c:pt>
                <c:pt idx="9">
                  <c:v>MT</c:v>
                </c:pt>
                <c:pt idx="10">
                  <c:v>NL</c:v>
                </c:pt>
                <c:pt idx="11">
                  <c:v>AT</c:v>
                </c:pt>
                <c:pt idx="12">
                  <c:v>PT</c:v>
                </c:pt>
                <c:pt idx="13">
                  <c:v>SI</c:v>
                </c:pt>
                <c:pt idx="14">
                  <c:v>SK</c:v>
                </c:pt>
                <c:pt idx="15">
                  <c:v>FI</c:v>
                </c:pt>
              </c:strCache>
            </c:strRef>
          </c:cat>
          <c:val>
            <c:numRef>
              <c:f>Sheet1!$C$2:$C$17</c:f>
              <c:numCache>
                <c:formatCode>General</c:formatCode>
                <c:ptCount val="16"/>
                <c:pt idx="0">
                  <c:v>96.7</c:v>
                </c:pt>
                <c:pt idx="1">
                  <c:v>73.2</c:v>
                </c:pt>
                <c:pt idx="2">
                  <c:v>64</c:v>
                </c:pt>
                <c:pt idx="3">
                  <c:v>115.1</c:v>
                </c:pt>
                <c:pt idx="4">
                  <c:v>53.2</c:v>
                </c:pt>
                <c:pt idx="5">
                  <c:v>77.599999999999994</c:v>
                </c:pt>
                <c:pt idx="6">
                  <c:v>115.8</c:v>
                </c:pt>
                <c:pt idx="7">
                  <c:v>56.2</c:v>
                </c:pt>
                <c:pt idx="8">
                  <c:v>14.5</c:v>
                </c:pt>
                <c:pt idx="9">
                  <c:v>69.099999999999994</c:v>
                </c:pt>
                <c:pt idx="10">
                  <c:v>60.9</c:v>
                </c:pt>
                <c:pt idx="11">
                  <c:v>66.5</c:v>
                </c:pt>
                <c:pt idx="12">
                  <c:v>76.8</c:v>
                </c:pt>
                <c:pt idx="13">
                  <c:v>35.9</c:v>
                </c:pt>
                <c:pt idx="14">
                  <c:v>35.700000000000003</c:v>
                </c:pt>
                <c:pt idx="15">
                  <c:v>44</c:v>
                </c:pt>
              </c:numCache>
            </c:numRef>
          </c:val>
        </c:ser>
        <c:dLbls>
          <c:showLegendKey val="0"/>
          <c:showVal val="0"/>
          <c:showCatName val="0"/>
          <c:showSerName val="0"/>
          <c:showPercent val="0"/>
          <c:showBubbleSize val="0"/>
        </c:dLbls>
        <c:gapWidth val="150"/>
        <c:axId val="107066496"/>
        <c:axId val="107068032"/>
      </c:barChart>
      <c:catAx>
        <c:axId val="107066496"/>
        <c:scaling>
          <c:orientation val="minMax"/>
        </c:scaling>
        <c:delete val="0"/>
        <c:axPos val="b"/>
        <c:majorTickMark val="out"/>
        <c:minorTickMark val="none"/>
        <c:tickLblPos val="nextTo"/>
        <c:crossAx val="107068032"/>
        <c:crosses val="autoZero"/>
        <c:auto val="1"/>
        <c:lblAlgn val="ctr"/>
        <c:lblOffset val="100"/>
        <c:noMultiLvlLbl val="0"/>
      </c:catAx>
      <c:valAx>
        <c:axId val="107068032"/>
        <c:scaling>
          <c:orientation val="minMax"/>
        </c:scaling>
        <c:delete val="0"/>
        <c:axPos val="l"/>
        <c:majorGridlines/>
        <c:numFmt formatCode="General" sourceLinked="1"/>
        <c:majorTickMark val="out"/>
        <c:minorTickMark val="none"/>
        <c:tickLblPos val="nextTo"/>
        <c:crossAx val="107066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D33D-1A0B-4BC9-8442-53929EC0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Sarah Hall</cp:lastModifiedBy>
  <cp:revision>2</cp:revision>
  <dcterms:created xsi:type="dcterms:W3CDTF">2014-04-29T14:15:00Z</dcterms:created>
  <dcterms:modified xsi:type="dcterms:W3CDTF">2014-04-29T14:15:00Z</dcterms:modified>
</cp:coreProperties>
</file>